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32"/>
        </w:rPr>
      </w:pPr>
      <w:r>
        <w:rPr>
          <w:rFonts w:hint="eastAsia"/>
          <w:b/>
          <w:bCs/>
          <w:sz w:val="32"/>
          <w:szCs w:val="32"/>
        </w:rPr>
        <w:t>上海中医药大学垃圾分类集中投放优秀示范点评比办法</w:t>
      </w:r>
    </w:p>
    <w:p>
      <w:pPr>
        <w:spacing w:line="360" w:lineRule="auto"/>
        <w:ind w:firstLine="480" w:firstLineChars="200"/>
        <w:rPr>
          <w:rFonts w:asciiTheme="minorEastAsia" w:hAnsiTheme="minorEastAsia" w:cstheme="minorEastAsia"/>
          <w:sz w:val="24"/>
        </w:rPr>
      </w:pPr>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为营造干净、有序、优美的工作生活环境，进一步加强垃圾分类工作精细化管理。根据《上海中医药大学生活垃圾分类实施办法(试行)》，结合我校的实际情况，制定《上海中医药大学垃圾分类流动红旗评比办法》。</w:t>
      </w:r>
    </w:p>
    <w:p>
      <w:pPr>
        <w:spacing w:line="360" w:lineRule="auto"/>
        <w:rPr>
          <w:rFonts w:cs="Times New Roman" w:asciiTheme="minorEastAsia" w:hAnsiTheme="minorEastAsia"/>
          <w:b/>
          <w:color w:val="000000"/>
          <w:sz w:val="28"/>
          <w:szCs w:val="28"/>
        </w:rPr>
      </w:pPr>
      <w:r>
        <w:rPr>
          <w:rFonts w:cs="Times New Roman" w:asciiTheme="minorEastAsia" w:hAnsiTheme="minorEastAsia"/>
          <w:b/>
          <w:color w:val="000000"/>
          <w:sz w:val="28"/>
          <w:szCs w:val="28"/>
        </w:rPr>
        <w:t>1、工作目标</w:t>
      </w:r>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紧紧围绕以建立学校生活垃圾分类工作常态化、长效化，实现校内生活垃圾“减量化、资源化、无害化”为目标，通过加强硬件建设、引入评比机制，营造师生共同参与垃圾分类的良好氛围，着力提升分类实效，实现学校生活垃圾的全过程分类管理。评比以动态考评为基础，按照日常巡查与集中抽查相结合的原则，实现过程管理与目标管理相结合，评选出垃圾分类集中投放优秀示范点，并授予流动红旗，以此引导师生不断增强环保意识，养成随手分类好习惯，持续推进生活垃圾分类管理工作。</w:t>
      </w:r>
    </w:p>
    <w:p>
      <w:pPr>
        <w:spacing w:line="360" w:lineRule="auto"/>
        <w:rPr>
          <w:rFonts w:cs="Times New Roman" w:asciiTheme="minorEastAsia" w:hAnsiTheme="minorEastAsia"/>
          <w:b/>
          <w:color w:val="000000"/>
          <w:sz w:val="28"/>
          <w:szCs w:val="28"/>
        </w:rPr>
      </w:pPr>
      <w:r>
        <w:rPr>
          <w:rFonts w:hint="eastAsia" w:cs="Times New Roman" w:asciiTheme="minorEastAsia" w:hAnsiTheme="minorEastAsia"/>
          <w:b/>
          <w:color w:val="000000"/>
          <w:sz w:val="28"/>
          <w:szCs w:val="28"/>
        </w:rPr>
        <w:t>2、评比范围</w:t>
      </w:r>
    </w:p>
    <w:p>
      <w:pPr>
        <w:widowControl/>
        <w:spacing w:line="360" w:lineRule="auto"/>
        <w:ind w:firstLine="541"/>
        <w:jc w:val="left"/>
        <w:rPr>
          <w:rFonts w:asciiTheme="minorEastAsia" w:hAnsiTheme="minorEastAsia" w:cstheme="minorEastAsia"/>
          <w:sz w:val="28"/>
          <w:szCs w:val="28"/>
        </w:rPr>
      </w:pPr>
      <w:r>
        <w:rPr>
          <w:rFonts w:hint="eastAsia" w:asciiTheme="minorEastAsia" w:hAnsiTheme="minorEastAsia" w:cstheme="minorEastAsia"/>
          <w:sz w:val="28"/>
          <w:szCs w:val="28"/>
        </w:rPr>
        <w:t>徐汇校区、张江校区、张江学生生活园区垃圾分类投放区域和投放点。</w:t>
      </w:r>
    </w:p>
    <w:p>
      <w:pPr>
        <w:spacing w:line="360" w:lineRule="auto"/>
        <w:rPr>
          <w:rFonts w:cs="Times New Roman" w:asciiTheme="minorEastAsia" w:hAnsiTheme="minorEastAsia"/>
          <w:b/>
          <w:color w:val="000000"/>
          <w:sz w:val="28"/>
          <w:szCs w:val="28"/>
        </w:rPr>
      </w:pPr>
      <w:r>
        <w:rPr>
          <w:rFonts w:hint="eastAsia" w:cs="Times New Roman" w:asciiTheme="minorEastAsia" w:hAnsiTheme="minorEastAsia"/>
          <w:b/>
          <w:color w:val="000000"/>
          <w:sz w:val="28"/>
          <w:szCs w:val="28"/>
        </w:rPr>
        <w:t>3、评比小组</w:t>
      </w:r>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成立上海中医药大学大学生活垃圾分类管理工作评比小组，评比小组成员由后勤保障处、物业公司、职工代表、学生代表等组成。</w:t>
      </w:r>
    </w:p>
    <w:p>
      <w:pPr>
        <w:spacing w:line="360" w:lineRule="auto"/>
        <w:rPr>
          <w:rFonts w:cs="Times New Roman" w:asciiTheme="minorEastAsia" w:hAnsiTheme="minorEastAsia"/>
          <w:b/>
          <w:color w:val="000000"/>
          <w:sz w:val="28"/>
          <w:szCs w:val="28"/>
        </w:rPr>
      </w:pPr>
      <w:r>
        <w:rPr>
          <w:rFonts w:hint="eastAsia" w:cs="Times New Roman" w:asciiTheme="minorEastAsia" w:hAnsiTheme="minorEastAsia"/>
          <w:b/>
          <w:color w:val="000000"/>
          <w:sz w:val="28"/>
          <w:szCs w:val="28"/>
        </w:rPr>
        <w:t>4、评比方式</w:t>
      </w:r>
    </w:p>
    <w:p>
      <w:pPr>
        <w:spacing w:line="360" w:lineRule="auto"/>
        <w:ind w:firstLine="560" w:firstLineChars="200"/>
        <w:rPr>
          <w:rFonts w:asciiTheme="minorEastAsia" w:hAnsiTheme="minorEastAsia" w:cstheme="minorEastAsia"/>
          <w:b/>
          <w:bCs/>
          <w:sz w:val="28"/>
          <w:szCs w:val="28"/>
        </w:rPr>
      </w:pPr>
      <w:r>
        <w:rPr>
          <w:rFonts w:hint="eastAsia" w:asciiTheme="minorEastAsia" w:hAnsiTheme="minorEastAsia" w:cstheme="minorEastAsia"/>
          <w:sz w:val="28"/>
          <w:szCs w:val="28"/>
        </w:rPr>
        <w:t>采取日常巡查、月度检查、不定期抽查等方式进行考评，并定期将评比结果在一定范围内进行通报、公布。</w:t>
      </w:r>
    </w:p>
    <w:p>
      <w:pPr>
        <w:spacing w:line="360" w:lineRule="auto"/>
        <w:rPr>
          <w:sz w:val="28"/>
          <w:szCs w:val="28"/>
        </w:rPr>
      </w:pPr>
      <w:r>
        <w:rPr>
          <w:rFonts w:hint="eastAsia"/>
          <w:sz w:val="28"/>
          <w:szCs w:val="28"/>
        </w:rPr>
        <w:t>（1）日常巡查</w:t>
      </w:r>
    </w:p>
    <w:p>
      <w:pPr>
        <w:spacing w:line="360" w:lineRule="auto"/>
        <w:ind w:firstLine="560" w:firstLineChars="200"/>
        <w:rPr>
          <w:sz w:val="28"/>
          <w:szCs w:val="28"/>
        </w:rPr>
      </w:pPr>
      <w:r>
        <w:rPr>
          <w:rFonts w:hint="eastAsia"/>
          <w:sz w:val="28"/>
          <w:szCs w:val="28"/>
        </w:rPr>
        <w:t>由后勤保障处联合物业公司工作人员每日在各集中投放点巡检垃圾投放分类情况。</w:t>
      </w:r>
    </w:p>
    <w:p>
      <w:pPr>
        <w:spacing w:line="360" w:lineRule="auto"/>
        <w:rPr>
          <w:sz w:val="28"/>
          <w:szCs w:val="28"/>
        </w:rPr>
      </w:pPr>
      <w:r>
        <w:rPr>
          <w:rFonts w:hint="eastAsia"/>
          <w:sz w:val="28"/>
          <w:szCs w:val="28"/>
        </w:rPr>
        <w:t>（2）每月定期检查</w:t>
      </w:r>
    </w:p>
    <w:p>
      <w:pPr>
        <w:spacing w:line="360" w:lineRule="auto"/>
        <w:ind w:firstLine="560" w:firstLineChars="200"/>
        <w:rPr>
          <w:sz w:val="28"/>
          <w:szCs w:val="28"/>
        </w:rPr>
      </w:pPr>
      <w:r>
        <w:rPr>
          <w:rFonts w:hint="eastAsia"/>
          <w:sz w:val="28"/>
          <w:szCs w:val="28"/>
        </w:rPr>
        <w:t>每月下旬开展月度定期检查，月度检查工作由评比小组成员集中巡视检查。</w:t>
      </w:r>
    </w:p>
    <w:p>
      <w:pPr>
        <w:spacing w:line="360" w:lineRule="auto"/>
        <w:rPr>
          <w:sz w:val="28"/>
          <w:szCs w:val="28"/>
        </w:rPr>
      </w:pPr>
      <w:r>
        <w:rPr>
          <w:rFonts w:hint="eastAsia"/>
          <w:sz w:val="28"/>
          <w:szCs w:val="28"/>
        </w:rPr>
        <w:t>（3）不定期抽查</w:t>
      </w:r>
    </w:p>
    <w:p>
      <w:pPr>
        <w:spacing w:line="360" w:lineRule="auto"/>
        <w:ind w:firstLine="560" w:firstLineChars="200"/>
        <w:rPr>
          <w:sz w:val="28"/>
          <w:szCs w:val="28"/>
        </w:rPr>
      </w:pPr>
      <w:r>
        <w:rPr>
          <w:rFonts w:hint="eastAsia"/>
          <w:sz w:val="28"/>
          <w:szCs w:val="28"/>
        </w:rPr>
        <w:t>评比小组成员不定期组织开展抽查工作，重点范围是月度检查工作中排名靠后垃圾投放区域。</w:t>
      </w:r>
    </w:p>
    <w:p>
      <w:pPr>
        <w:spacing w:line="360" w:lineRule="auto"/>
        <w:rPr>
          <w:rFonts w:cs="Times New Roman" w:asciiTheme="minorEastAsia" w:hAnsiTheme="minorEastAsia"/>
          <w:b/>
          <w:color w:val="000000"/>
          <w:sz w:val="28"/>
          <w:szCs w:val="28"/>
        </w:rPr>
      </w:pPr>
      <w:r>
        <w:rPr>
          <w:rFonts w:hint="eastAsia" w:cs="Times New Roman" w:asciiTheme="minorEastAsia" w:hAnsiTheme="minorEastAsia"/>
          <w:b/>
          <w:color w:val="000000"/>
          <w:sz w:val="28"/>
          <w:szCs w:val="28"/>
        </w:rPr>
        <w:t>5、评分标准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垃圾分类流动红旗的评比以垃圾分类投放正确、垃圾减量</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师生参与度、垃圾分类纯度</w:t>
      </w:r>
      <w:r>
        <w:rPr>
          <w:rFonts w:hint="eastAsia" w:asciiTheme="minorEastAsia" w:hAnsiTheme="minorEastAsia" w:cstheme="minorEastAsia"/>
          <w:sz w:val="28"/>
          <w:szCs w:val="28"/>
        </w:rPr>
        <w:t>为标准。采取等级制评分管理，分为“优</w:t>
      </w:r>
      <w:r>
        <w:rPr>
          <w:rFonts w:asciiTheme="minorEastAsia" w:hAnsiTheme="minorEastAsia" w:cstheme="minorEastAsia"/>
          <w:sz w:val="28"/>
          <w:szCs w:val="28"/>
        </w:rPr>
        <w:t>”</w:t>
      </w:r>
      <w:r>
        <w:rPr>
          <w:rFonts w:hint="eastAsia" w:asciiTheme="minorEastAsia" w:hAnsiTheme="minorEastAsia" w:cstheme="minorEastAsia"/>
          <w:sz w:val="28"/>
          <w:szCs w:val="28"/>
        </w:rPr>
        <w:t>、“良</w:t>
      </w:r>
      <w:r>
        <w:rPr>
          <w:rFonts w:asciiTheme="minorEastAsia" w:hAnsiTheme="minorEastAsia" w:cstheme="minorEastAsia"/>
          <w:sz w:val="28"/>
          <w:szCs w:val="28"/>
        </w:rPr>
        <w:t>”</w:t>
      </w:r>
      <w:r>
        <w:rPr>
          <w:rFonts w:hint="eastAsia" w:asciiTheme="minorEastAsia" w:hAnsiTheme="minorEastAsia" w:cstheme="minorEastAsia"/>
          <w:sz w:val="28"/>
          <w:szCs w:val="28"/>
        </w:rPr>
        <w:t>、“中</w:t>
      </w:r>
      <w:r>
        <w:rPr>
          <w:rFonts w:asciiTheme="minorEastAsia" w:hAnsiTheme="minorEastAsia" w:cstheme="minorEastAsia"/>
          <w:sz w:val="28"/>
          <w:szCs w:val="28"/>
        </w:rPr>
        <w:t>”</w:t>
      </w:r>
      <w:r>
        <w:rPr>
          <w:rFonts w:hint="eastAsia" w:asciiTheme="minorEastAsia" w:hAnsiTheme="minorEastAsia" w:cstheme="minorEastAsia"/>
          <w:sz w:val="28"/>
          <w:szCs w:val="28"/>
        </w:rPr>
        <w:t>、“差</w:t>
      </w:r>
      <w:r>
        <w:rPr>
          <w:rFonts w:asciiTheme="minorEastAsia" w:hAnsiTheme="minorEastAsia" w:cstheme="minorEastAsia"/>
          <w:sz w:val="28"/>
          <w:szCs w:val="28"/>
        </w:rPr>
        <w:t>”</w:t>
      </w:r>
      <w:r>
        <w:rPr>
          <w:rFonts w:hint="eastAsia" w:asciiTheme="minorEastAsia" w:hAnsiTheme="minorEastAsia" w:cstheme="minorEastAsia"/>
          <w:sz w:val="28"/>
          <w:szCs w:val="28"/>
        </w:rPr>
        <w:t>四个等级，每个月公布检查情况。获得“优”等级的垃圾投放处授予流动红旗。“优</w:t>
      </w:r>
      <w:r>
        <w:rPr>
          <w:rFonts w:asciiTheme="minorEastAsia" w:hAnsiTheme="minorEastAsia" w:cstheme="minorEastAsia"/>
          <w:sz w:val="28"/>
          <w:szCs w:val="28"/>
        </w:rPr>
        <w:t>”</w:t>
      </w:r>
      <w:r>
        <w:rPr>
          <w:rFonts w:hint="eastAsia" w:asciiTheme="minorEastAsia" w:hAnsiTheme="minorEastAsia" w:cstheme="minorEastAsia"/>
          <w:sz w:val="28"/>
          <w:szCs w:val="28"/>
        </w:rPr>
        <w:t>、“良</w:t>
      </w:r>
      <w:r>
        <w:rPr>
          <w:rFonts w:asciiTheme="minorEastAsia" w:hAnsiTheme="minorEastAsia" w:cstheme="minorEastAsia"/>
          <w:sz w:val="28"/>
          <w:szCs w:val="28"/>
        </w:rPr>
        <w:t>”</w:t>
      </w:r>
      <w:r>
        <w:rPr>
          <w:rFonts w:hint="eastAsia" w:asciiTheme="minorEastAsia" w:hAnsiTheme="minorEastAsia" w:cstheme="minorEastAsia"/>
          <w:sz w:val="28"/>
          <w:szCs w:val="28"/>
        </w:rPr>
        <w:t>、“中</w:t>
      </w:r>
      <w:r>
        <w:rPr>
          <w:rFonts w:asciiTheme="minorEastAsia" w:hAnsiTheme="minorEastAsia" w:cstheme="minorEastAsia"/>
          <w:sz w:val="28"/>
          <w:szCs w:val="28"/>
        </w:rPr>
        <w:t>”</w:t>
      </w:r>
      <w:r>
        <w:rPr>
          <w:rFonts w:hint="eastAsia" w:asciiTheme="minorEastAsia" w:hAnsiTheme="minorEastAsia" w:cstheme="minorEastAsia"/>
          <w:sz w:val="28"/>
          <w:szCs w:val="28"/>
        </w:rPr>
        <w:t>、“差</w:t>
      </w:r>
      <w:r>
        <w:rPr>
          <w:rFonts w:asciiTheme="minorEastAsia" w:hAnsiTheme="minorEastAsia" w:cstheme="minorEastAsia"/>
          <w:sz w:val="28"/>
          <w:szCs w:val="28"/>
        </w:rPr>
        <w:t>”</w:t>
      </w:r>
      <w:r>
        <w:rPr>
          <w:rFonts w:hint="eastAsia" w:asciiTheme="minorEastAsia" w:hAnsiTheme="minorEastAsia" w:cstheme="minorEastAsia"/>
          <w:sz w:val="28"/>
          <w:szCs w:val="28"/>
        </w:rPr>
        <w:t>标准的评估依据如下：</w:t>
      </w:r>
    </w:p>
    <w:p>
      <w:pPr>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优：</w:t>
      </w:r>
      <w:r>
        <w:rPr>
          <w:rFonts w:hint="eastAsia" w:asciiTheme="minorEastAsia" w:hAnsiTheme="minorEastAsia" w:cstheme="minorEastAsia"/>
          <w:sz w:val="28"/>
          <w:szCs w:val="28"/>
        </w:rPr>
        <w:t>干垃圾、湿垃圾、可回收垃圾、有害垃圾分类投放正确；</w:t>
      </w:r>
      <w:r>
        <w:rPr>
          <w:rFonts w:hint="eastAsia" w:asciiTheme="minorEastAsia" w:hAnsiTheme="minorEastAsia" w:cstheme="minorEastAsia"/>
          <w:color w:val="auto"/>
          <w:sz w:val="28"/>
          <w:szCs w:val="28"/>
          <w:lang w:val="en-US" w:eastAsia="zh-CN"/>
        </w:rPr>
        <w:t>师生主动参与垃圾分类，积极配合；</w:t>
      </w:r>
      <w:r>
        <w:rPr>
          <w:rFonts w:hint="eastAsia" w:asciiTheme="minorEastAsia" w:hAnsiTheme="minorEastAsia" w:cstheme="minorEastAsia"/>
          <w:color w:val="auto"/>
          <w:sz w:val="28"/>
          <w:szCs w:val="28"/>
        </w:rPr>
        <w:t>垃圾分类纯净度高（纯净度大于95%），各类垃圾无混合；无小包垃圾落地，垃圾投放处整体环境好；</w:t>
      </w:r>
      <w:r>
        <w:rPr>
          <w:rFonts w:hint="eastAsia" w:asciiTheme="minorEastAsia" w:hAnsiTheme="minorEastAsia" w:cstheme="minorEastAsia"/>
          <w:sz w:val="28"/>
          <w:szCs w:val="28"/>
        </w:rPr>
        <w:t>垃圾减量成效显著。</w:t>
      </w:r>
    </w:p>
    <w:p>
      <w:pPr>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良：</w:t>
      </w:r>
      <w:r>
        <w:rPr>
          <w:rFonts w:hint="eastAsia" w:asciiTheme="minorEastAsia" w:hAnsiTheme="minorEastAsia" w:cstheme="minorEastAsia"/>
          <w:sz w:val="28"/>
          <w:szCs w:val="28"/>
        </w:rPr>
        <w:t>干垃圾、湿垃圾、可回收垃圾、有害垃圾分类投放正确；</w:t>
      </w:r>
      <w:r>
        <w:rPr>
          <w:rFonts w:hint="eastAsia" w:asciiTheme="minorEastAsia" w:hAnsiTheme="minorEastAsia" w:cstheme="minorEastAsia"/>
          <w:color w:val="auto"/>
          <w:sz w:val="28"/>
          <w:szCs w:val="28"/>
          <w:lang w:val="en-US" w:eastAsia="zh-CN"/>
        </w:rPr>
        <w:t>师生主动参与垃圾分类，较为配合；</w:t>
      </w:r>
      <w:r>
        <w:rPr>
          <w:rFonts w:hint="eastAsia" w:asciiTheme="minorEastAsia" w:hAnsiTheme="minorEastAsia" w:cstheme="minorEastAsia"/>
          <w:color w:val="auto"/>
          <w:sz w:val="28"/>
          <w:szCs w:val="28"/>
        </w:rPr>
        <w:t>垃圾分类纯净度高（纯净度</w:t>
      </w:r>
      <w:r>
        <w:rPr>
          <w:rFonts w:hint="eastAsia" w:asciiTheme="minorEastAsia" w:hAnsiTheme="minorEastAsia" w:cstheme="minorEastAsia"/>
          <w:sz w:val="28"/>
          <w:szCs w:val="28"/>
        </w:rPr>
        <w:t>在90%-95%之间），各类垃圾微量混合；无小包垃圾落地，垃圾投放处整体环境较好；基本做到垃圾减量。</w:t>
      </w:r>
    </w:p>
    <w:p>
      <w:pPr>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中：</w:t>
      </w:r>
      <w:r>
        <w:rPr>
          <w:rFonts w:hint="eastAsia" w:asciiTheme="minorEastAsia" w:hAnsiTheme="minorEastAsia" w:cstheme="minorEastAsia"/>
          <w:sz w:val="28"/>
          <w:szCs w:val="28"/>
        </w:rPr>
        <w:t>干垃圾、湿垃圾、可回收垃圾、有害垃圾分类投放正确；</w:t>
      </w:r>
      <w:r>
        <w:rPr>
          <w:rFonts w:hint="eastAsia" w:asciiTheme="minorEastAsia" w:hAnsiTheme="minorEastAsia" w:cstheme="minorEastAsia"/>
          <w:color w:val="auto"/>
          <w:sz w:val="28"/>
          <w:szCs w:val="28"/>
          <w:lang w:val="en-US" w:eastAsia="zh-CN"/>
        </w:rPr>
        <w:t>师生参与垃圾分类；</w:t>
      </w:r>
      <w:r>
        <w:rPr>
          <w:rFonts w:hint="eastAsia" w:asciiTheme="minorEastAsia" w:hAnsiTheme="minorEastAsia" w:cstheme="minorEastAsia"/>
          <w:color w:val="auto"/>
          <w:sz w:val="28"/>
          <w:szCs w:val="28"/>
        </w:rPr>
        <w:t>垃圾分类纯净度高（纯净度在85%-90%之间），</w:t>
      </w:r>
      <w:r>
        <w:rPr>
          <w:rFonts w:hint="eastAsia" w:asciiTheme="minorEastAsia" w:hAnsiTheme="minorEastAsia" w:cstheme="minorEastAsia"/>
          <w:sz w:val="28"/>
          <w:szCs w:val="28"/>
        </w:rPr>
        <w:t>各类垃圾少量混合；少量小包垃圾落地，垃圾投放处整体环境一般；未做到垃圾减量。</w:t>
      </w:r>
    </w:p>
    <w:p>
      <w:pPr>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差：</w:t>
      </w:r>
      <w:r>
        <w:rPr>
          <w:rFonts w:hint="eastAsia" w:asciiTheme="minorEastAsia" w:hAnsiTheme="minorEastAsia" w:cstheme="minorEastAsia"/>
          <w:sz w:val="28"/>
          <w:szCs w:val="28"/>
        </w:rPr>
        <w:t>干垃圾、湿垃圾、可回收垃圾、有害垃圾分类投放</w:t>
      </w:r>
      <w:r>
        <w:rPr>
          <w:rFonts w:hint="eastAsia" w:asciiTheme="minorEastAsia" w:hAnsiTheme="minorEastAsia" w:cstheme="minorEastAsia"/>
          <w:sz w:val="28"/>
          <w:szCs w:val="28"/>
          <w:lang w:val="en-US" w:eastAsia="zh-CN"/>
        </w:rPr>
        <w:t>不</w:t>
      </w:r>
      <w:r>
        <w:rPr>
          <w:rFonts w:hint="eastAsia" w:asciiTheme="minorEastAsia" w:hAnsiTheme="minorEastAsia" w:cstheme="minorEastAsia"/>
          <w:sz w:val="28"/>
          <w:szCs w:val="28"/>
        </w:rPr>
        <w:t>正确；</w:t>
      </w:r>
      <w:r>
        <w:rPr>
          <w:rFonts w:hint="eastAsia" w:asciiTheme="minorEastAsia" w:hAnsiTheme="minorEastAsia" w:cstheme="minorEastAsia"/>
          <w:color w:val="auto"/>
          <w:sz w:val="28"/>
          <w:szCs w:val="28"/>
          <w:lang w:val="en-US" w:eastAsia="zh-CN"/>
        </w:rPr>
        <w:t>师生不主动参与垃圾分类；</w:t>
      </w:r>
      <w:r>
        <w:rPr>
          <w:rFonts w:hint="eastAsia" w:asciiTheme="minorEastAsia" w:hAnsiTheme="minorEastAsia" w:cstheme="minorEastAsia"/>
          <w:color w:val="auto"/>
          <w:sz w:val="28"/>
          <w:szCs w:val="28"/>
        </w:rPr>
        <w:t>垃圾分类纯净度较差（小于85%），各类垃</w:t>
      </w:r>
      <w:r>
        <w:rPr>
          <w:rFonts w:hint="eastAsia" w:asciiTheme="minorEastAsia" w:hAnsiTheme="minorEastAsia" w:cstheme="minorEastAsia"/>
          <w:sz w:val="28"/>
          <w:szCs w:val="28"/>
        </w:rPr>
        <w:t>圾大量混合；大量小包垃圾落地，垃圾投放处整体环境较差；垃圾量增多。</w:t>
      </w:r>
    </w:p>
    <w:p>
      <w:pPr>
        <w:spacing w:line="360" w:lineRule="auto"/>
        <w:rPr>
          <w:rFonts w:cs="Times New Roman" w:asciiTheme="minorEastAsia" w:hAnsiTheme="minorEastAsia"/>
          <w:b/>
          <w:color w:val="000000"/>
          <w:sz w:val="28"/>
          <w:szCs w:val="28"/>
        </w:rPr>
      </w:pPr>
      <w:r>
        <w:rPr>
          <w:rFonts w:hint="eastAsia" w:cs="Times New Roman" w:asciiTheme="minorEastAsia" w:hAnsiTheme="minorEastAsia"/>
          <w:b/>
          <w:color w:val="000000"/>
          <w:sz w:val="28"/>
          <w:szCs w:val="28"/>
        </w:rPr>
        <w:t>6、结果公示</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垃圾分类评比结果，每月在学校OA和后勤保障处网站和公众号中进行公示。检查中发现的问题，当场进行详细记录、拍照（摄像），并对整改落实情况进行指导、跟踪、复查。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本办法由后勤保障处负责解释。</w:t>
      </w: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ind w:firstLine="281" w:firstLineChars="100"/>
        <w:rPr>
          <w:rFonts w:asciiTheme="minorEastAsia" w:hAnsiTheme="minorEastAsia" w:cstheme="minorEastAsia"/>
          <w:sz w:val="28"/>
          <w:szCs w:val="28"/>
        </w:rPr>
      </w:pPr>
      <w:r>
        <w:rPr>
          <w:rFonts w:hint="eastAsia" w:asciiTheme="minorEastAsia" w:hAnsiTheme="minorEastAsia" w:cstheme="minorEastAsia"/>
          <w:b/>
          <w:bCs/>
          <w:sz w:val="28"/>
          <w:szCs w:val="28"/>
        </w:rPr>
        <w:t>附件1：</w:t>
      </w:r>
      <w:r>
        <w:rPr>
          <w:rFonts w:hint="eastAsia" w:asciiTheme="minorEastAsia" w:hAnsiTheme="minorEastAsia" w:cstheme="minorEastAsia"/>
          <w:sz w:val="28"/>
          <w:szCs w:val="28"/>
        </w:rPr>
        <w:t>《上海中医药大学垃圾分类流动红旗评分表》</w:t>
      </w:r>
    </w:p>
    <w:p>
      <w:pPr>
        <w:spacing w:line="360" w:lineRule="auto"/>
        <w:ind w:firstLine="281" w:firstLineChars="100"/>
        <w:rPr>
          <w:rFonts w:asciiTheme="minorEastAsia" w:hAnsiTheme="minorEastAsia" w:cstheme="minorEastAsia"/>
          <w:sz w:val="28"/>
          <w:szCs w:val="28"/>
        </w:rPr>
      </w:pPr>
      <w:r>
        <w:rPr>
          <w:rFonts w:hint="eastAsia" w:asciiTheme="minorEastAsia" w:hAnsiTheme="minorEastAsia" w:cstheme="minorEastAsia"/>
          <w:b/>
          <w:bCs/>
          <w:sz w:val="28"/>
          <w:szCs w:val="28"/>
        </w:rPr>
        <w:t>附件2：</w:t>
      </w:r>
      <w:r>
        <w:rPr>
          <w:rFonts w:hint="eastAsia" w:asciiTheme="minorEastAsia" w:hAnsiTheme="minorEastAsia" w:cstheme="minorEastAsia"/>
          <w:sz w:val="28"/>
          <w:szCs w:val="28"/>
        </w:rPr>
        <w:t>《上海中医药大学校区生活垃圾分类投放评比区域》</w:t>
      </w:r>
    </w:p>
    <w:p>
      <w:pPr>
        <w:spacing w:line="360" w:lineRule="auto"/>
        <w:ind w:firstLine="281" w:firstLineChars="100"/>
        <w:rPr>
          <w:rFonts w:asciiTheme="minorEastAsia" w:hAnsiTheme="minorEastAsia" w:cstheme="minorEastAsia"/>
          <w:sz w:val="28"/>
          <w:szCs w:val="28"/>
        </w:rPr>
      </w:pPr>
      <w:r>
        <w:rPr>
          <w:rFonts w:hint="eastAsia" w:asciiTheme="minorEastAsia" w:hAnsiTheme="minorEastAsia" w:cstheme="minorEastAsia"/>
          <w:b/>
          <w:bCs/>
          <w:sz w:val="28"/>
          <w:szCs w:val="28"/>
        </w:rPr>
        <w:t>附件3：</w:t>
      </w:r>
      <w:r>
        <w:rPr>
          <w:rFonts w:hint="eastAsia" w:asciiTheme="minorEastAsia" w:hAnsiTheme="minorEastAsia" w:cstheme="minorEastAsia"/>
          <w:sz w:val="28"/>
          <w:szCs w:val="28"/>
        </w:rPr>
        <w:t>《上海中医药大学生活园区垃圾分类投放评比区域》</w:t>
      </w:r>
    </w:p>
    <w:p>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pPr>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附件1：</w:t>
      </w:r>
    </w:p>
    <w:p>
      <w:pPr>
        <w:spacing w:line="360" w:lineRule="auto"/>
        <w:ind w:firstLine="301" w:firstLineChars="10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上海中医药大学垃圾分类流动红旗评分表</w:t>
      </w:r>
    </w:p>
    <w:p>
      <w:pPr>
        <w:spacing w:line="360" w:lineRule="auto"/>
        <w:ind w:firstLine="301" w:firstLineChars="100"/>
        <w:jc w:val="center"/>
        <w:rPr>
          <w:rFonts w:asciiTheme="minorEastAsia" w:hAnsiTheme="minorEastAsia" w:cstheme="minorEastAsia"/>
          <w:b/>
          <w:bCs/>
          <w:sz w:val="30"/>
          <w:szCs w:val="30"/>
        </w:rPr>
      </w:pPr>
    </w:p>
    <w:p>
      <w:pPr>
        <w:spacing w:line="360" w:lineRule="auto"/>
        <w:rPr>
          <w:rFonts w:eastAsia="仿宋_GB2312"/>
          <w:color w:val="000000"/>
          <w:sz w:val="28"/>
          <w:szCs w:val="28"/>
        </w:rPr>
      </w:pPr>
      <w:r>
        <w:rPr>
          <w:rFonts w:eastAsia="仿宋_GB2312"/>
          <w:color w:val="000000"/>
          <w:sz w:val="28"/>
          <w:szCs w:val="28"/>
        </w:rPr>
        <w:t>检查日期：</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60" w:lineRule="auto"/>
        <w:rPr>
          <w:rFonts w:eastAsia="仿宋_GB2312"/>
          <w:i/>
          <w:iCs/>
          <w:color w:val="000000"/>
          <w:sz w:val="28"/>
          <w:szCs w:val="28"/>
          <w:u w:val="single"/>
        </w:rPr>
      </w:pPr>
      <w:r>
        <w:rPr>
          <w:rFonts w:hint="eastAsia" w:eastAsia="仿宋_GB2312"/>
          <w:color w:val="000000"/>
          <w:sz w:val="28"/>
          <w:szCs w:val="28"/>
        </w:rPr>
        <w:t>评比小组成员签字：</w:t>
      </w:r>
      <w:r>
        <w:rPr>
          <w:rFonts w:hint="eastAsia" w:eastAsia="仿宋_GB2312"/>
          <w:i/>
          <w:iCs/>
          <w:color w:val="000000"/>
          <w:sz w:val="28"/>
          <w:szCs w:val="28"/>
          <w:u w:val="single"/>
        </w:rPr>
        <w:t xml:space="preserve">                                          </w:t>
      </w:r>
    </w:p>
    <w:tbl>
      <w:tblPr>
        <w:tblStyle w:val="6"/>
        <w:tblpPr w:leftFromText="180" w:rightFromText="180" w:vertAnchor="text" w:horzAnchor="page" w:tblpX="1905" w:tblpY="62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670"/>
        <w:gridCol w:w="186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评比区域</w:t>
            </w:r>
          </w:p>
        </w:tc>
        <w:tc>
          <w:tcPr>
            <w:tcW w:w="2670" w:type="dxa"/>
          </w:tcPr>
          <w:p>
            <w:pPr>
              <w:spacing w:line="360" w:lineRule="auto"/>
              <w:jc w:val="center"/>
              <w:rPr>
                <w:rFonts w:asciiTheme="minorEastAsia" w:hAnsiTheme="minorEastAsia" w:cstheme="minorEastAsia"/>
                <w:b/>
                <w:bCs/>
                <w:sz w:val="28"/>
                <w:szCs w:val="28"/>
              </w:rPr>
            </w:pPr>
            <w:r>
              <w:rPr>
                <w:rFonts w:hint="eastAsia" w:eastAsia="仿宋_GB2312"/>
                <w:b/>
                <w:bCs/>
                <w:sz w:val="28"/>
                <w:szCs w:val="28"/>
              </w:rPr>
              <w:t>所属部门（学院）</w:t>
            </w:r>
          </w:p>
        </w:tc>
        <w:tc>
          <w:tcPr>
            <w:tcW w:w="1860" w:type="dxa"/>
          </w:tcPr>
          <w:p>
            <w:pPr>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等级</w:t>
            </w:r>
          </w:p>
        </w:tc>
        <w:tc>
          <w:tcPr>
            <w:tcW w:w="1568" w:type="dxa"/>
          </w:tcPr>
          <w:p>
            <w:pPr>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24" w:type="dxa"/>
          </w:tcPr>
          <w:p>
            <w:pPr>
              <w:spacing w:line="360" w:lineRule="auto"/>
              <w:jc w:val="center"/>
              <w:rPr>
                <w:rFonts w:asciiTheme="minorEastAsia" w:hAnsiTheme="minorEastAsia" w:cstheme="minorEastAsia"/>
                <w:b/>
                <w:bCs/>
                <w:sz w:val="30"/>
                <w:szCs w:val="30"/>
              </w:rPr>
            </w:pPr>
          </w:p>
        </w:tc>
        <w:tc>
          <w:tcPr>
            <w:tcW w:w="2670" w:type="dxa"/>
          </w:tcPr>
          <w:p>
            <w:pPr>
              <w:spacing w:line="360" w:lineRule="auto"/>
              <w:jc w:val="center"/>
              <w:rPr>
                <w:rFonts w:asciiTheme="minorEastAsia" w:hAnsiTheme="minorEastAsia" w:cstheme="minorEastAsia"/>
                <w:b/>
                <w:bCs/>
                <w:sz w:val="30"/>
                <w:szCs w:val="30"/>
              </w:rPr>
            </w:pPr>
          </w:p>
        </w:tc>
        <w:tc>
          <w:tcPr>
            <w:tcW w:w="1860" w:type="dxa"/>
          </w:tcPr>
          <w:p>
            <w:pPr>
              <w:spacing w:line="360" w:lineRule="auto"/>
              <w:jc w:val="center"/>
              <w:rPr>
                <w:rFonts w:asciiTheme="minorEastAsia" w:hAnsiTheme="minorEastAsia" w:cstheme="minorEastAsia"/>
                <w:b/>
                <w:bCs/>
                <w:sz w:val="30"/>
                <w:szCs w:val="30"/>
              </w:rPr>
            </w:pPr>
          </w:p>
        </w:tc>
        <w:tc>
          <w:tcPr>
            <w:tcW w:w="1568" w:type="dxa"/>
          </w:tcPr>
          <w:p>
            <w:pPr>
              <w:spacing w:line="360" w:lineRule="auto"/>
              <w:jc w:val="center"/>
              <w:rPr>
                <w:rFonts w:asciiTheme="minorEastAsia" w:hAnsiTheme="minorEastAsia" w:cstheme="minorEastAsia"/>
                <w:b/>
                <w:bCs/>
                <w:sz w:val="30"/>
                <w:szCs w:val="30"/>
              </w:rPr>
            </w:pPr>
          </w:p>
        </w:tc>
      </w:tr>
    </w:tbl>
    <w:p>
      <w:pPr>
        <w:spacing w:line="360" w:lineRule="auto"/>
        <w:ind w:firstLine="301" w:firstLineChars="100"/>
        <w:jc w:val="left"/>
        <w:rPr>
          <w:rFonts w:asciiTheme="minorEastAsia" w:hAnsiTheme="minorEastAsia" w:cstheme="minorEastAsia"/>
          <w:b/>
          <w:bCs/>
          <w:sz w:val="28"/>
          <w:szCs w:val="28"/>
        </w:rPr>
      </w:pPr>
      <w:r>
        <w:rPr>
          <w:rFonts w:hint="eastAsia" w:asciiTheme="minorEastAsia" w:hAnsiTheme="minorEastAsia" w:cstheme="minorEastAsia"/>
          <w:b/>
          <w:bCs/>
          <w:sz w:val="30"/>
          <w:szCs w:val="30"/>
          <w:u w:val="single"/>
        </w:rPr>
        <w:t xml:space="preserve">                                                     </w:t>
      </w:r>
      <w:r>
        <w:rPr>
          <w:rFonts w:hint="eastAsia" w:asciiTheme="minorEastAsia" w:hAnsiTheme="minorEastAsia" w:cstheme="minorEastAsia"/>
          <w:b/>
          <w:bCs/>
          <w:sz w:val="28"/>
          <w:szCs w:val="28"/>
        </w:rPr>
        <w:t>附件2：</w:t>
      </w:r>
    </w:p>
    <w:p>
      <w:pPr>
        <w:spacing w:line="360" w:lineRule="auto"/>
        <w:ind w:firstLine="281" w:firstLineChars="100"/>
        <w:jc w:val="cente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上海中医药大学</w:t>
      </w:r>
      <w:r>
        <w:rPr>
          <w:rFonts w:hint="eastAsia" w:asciiTheme="minorEastAsia" w:hAnsiTheme="minorEastAsia" w:cstheme="minorEastAsia"/>
          <w:b/>
          <w:bCs/>
          <w:sz w:val="28"/>
          <w:szCs w:val="28"/>
          <w:lang w:val="en-US" w:eastAsia="zh-CN"/>
        </w:rPr>
        <w:t>张江</w:t>
      </w:r>
      <w:r>
        <w:rPr>
          <w:rFonts w:hint="eastAsia" w:asciiTheme="minorEastAsia" w:hAnsiTheme="minorEastAsia" w:cstheme="minorEastAsia"/>
          <w:b/>
          <w:bCs/>
          <w:sz w:val="28"/>
          <w:szCs w:val="28"/>
        </w:rPr>
        <w:t>校区生活垃圾投放评比区域</w:t>
      </w:r>
    </w:p>
    <w:tbl>
      <w:tblPr>
        <w:tblStyle w:val="5"/>
        <w:tblpPr w:leftFromText="180" w:rightFromText="180" w:vertAnchor="text" w:horzAnchor="page" w:tblpX="1792" w:tblpY="586"/>
        <w:tblOverlap w:val="never"/>
        <w:tblW w:w="8565" w:type="dxa"/>
        <w:tblInd w:w="0" w:type="dxa"/>
        <w:tblLayout w:type="fixed"/>
        <w:tblCellMar>
          <w:top w:w="0" w:type="dxa"/>
          <w:left w:w="0" w:type="dxa"/>
          <w:bottom w:w="0" w:type="dxa"/>
          <w:right w:w="0" w:type="dxa"/>
        </w:tblCellMar>
      </w:tblPr>
      <w:tblGrid>
        <w:gridCol w:w="945"/>
        <w:gridCol w:w="3690"/>
        <w:gridCol w:w="3930"/>
      </w:tblGrid>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lang w:bidi="ar"/>
              </w:rPr>
              <w:t>序号</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lang w:bidi="ar"/>
              </w:rPr>
              <w:t>评定区域</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lang w:bidi="ar"/>
              </w:rPr>
              <w:t>所属部门（学院）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后勤楼1F-2F</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后勤楼</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体育馆1F-2F</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体育馆</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3</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解剖楼1F-3F楼</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解剖楼</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4</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动物实验楼1F大厅</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动物实验楼</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5</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国教院1F-3F卫生间门口</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国际交流中心</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6</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1510室门前对面放置（玻璃门内走道内）1515室门前对面放置</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科技实验中心、创新中药研究院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7</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 xml:space="preserve">2号楼1F南面西面各一组 </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中药现代制剂技术研究中心</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8</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 xml:space="preserve">2号楼2F南面西面各一组 </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公共实验平台</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9</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 xml:space="preserve">2号楼3F-4F南面西面各一组 </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交叉科学研究平台</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10</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 xml:space="preserve">2号楼5F南面西面各一组 </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手性药物研究中心</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11</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3号楼1F南面西面各一组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临床技能训练室（模拟医院）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12</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3号楼2F南面西面各一组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中医学基础实验室</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13</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3号楼3F南面西面各一组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免疫学与病原微生物学实验室</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14</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3-4号楼4F南面西面各一组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形态学实验室、中药综合实验室</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15</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3-4号楼5F南面西面各一组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临床技能训练室（针灸、推拿）、中药化学与药剂学实验室、药用植物与生药学实验室</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16</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4号楼1F南面西面各一组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生物化学和分子生物学实验室</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17</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4号楼2F南面西面各一组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机能学实验室</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18</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4号楼3F南面西面各一组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理化基础与仪器分析实验室</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19</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5号楼1F-5F东面楼梯对面</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中药研究所</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20</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6号楼1楼电梯口，2F-5F南侧</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教室区域</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21</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7号楼2F-3F卫生间门口</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教室区域</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22</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7号楼4F卫生间门口</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基础医学院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23</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7号楼南面通道（7103斜对面）</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公共区域（教学实验中心）</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24</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8号楼1F茶水间</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中医健康服务协同创新中心</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25</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9号2F-3F卫生间门前</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教室区域</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26</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9号4F女卫门前</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继续教育学院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27</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9号1F南面通道楼梯</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公共区域</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28</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11号2F女卫门前</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教学区域</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29</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11号3F女卫门前</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外语中心</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30</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11号4F女卫门前</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外语中心、社科部</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31</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创新楼1F-10F茶水间</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创新楼</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32</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行政楼1F-4F卫生间</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行政楼</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34</w:t>
            </w:r>
          </w:p>
        </w:tc>
        <w:tc>
          <w:tcPr>
            <w:tcW w:w="3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博物馆1至3楼（卫生间处）</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博物馆</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35</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裙楼1F-4F卫生间</w:t>
            </w:r>
          </w:p>
        </w:tc>
        <w:tc>
          <w:tcPr>
            <w:tcW w:w="39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裙楼</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36</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图书馆1F-6F南北卫生间</w:t>
            </w:r>
          </w:p>
        </w:tc>
        <w:tc>
          <w:tcPr>
            <w:tcW w:w="39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公共区域</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37</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图书馆7F-10F南北卫生间</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szCs w:val="24"/>
              </w:rPr>
            </w:pPr>
            <w:r>
              <w:rPr>
                <w:rFonts w:hint="eastAsia" w:ascii="宋体" w:hAnsi="宋体" w:eastAsia="宋体" w:cs="宋体"/>
                <w:i w:val="0"/>
                <w:color w:val="000000"/>
                <w:kern w:val="0"/>
                <w:sz w:val="24"/>
                <w:szCs w:val="24"/>
                <w:u w:val="none"/>
                <w:lang w:val="en-US" w:eastAsia="zh-CN" w:bidi="ar"/>
              </w:rPr>
              <w:t>办公区域</w:t>
            </w:r>
          </w:p>
        </w:tc>
      </w:tr>
    </w:tbl>
    <w:p>
      <w:pPr>
        <w:spacing w:line="360" w:lineRule="auto"/>
        <w:rPr>
          <w:rFonts w:asciiTheme="minorEastAsia" w:hAnsiTheme="minorEastAsia" w:cstheme="minorEastAsia"/>
          <w:b/>
          <w:bCs/>
          <w:sz w:val="24"/>
        </w:rPr>
      </w:pPr>
      <w:bookmarkStart w:id="0" w:name="_GoBack"/>
      <w:bookmarkEnd w:id="0"/>
    </w:p>
    <w:p>
      <w:pPr>
        <w:spacing w:line="360" w:lineRule="auto"/>
        <w:ind w:firstLine="281" w:firstLineChars="10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上海中医药大学</w:t>
      </w:r>
      <w:r>
        <w:rPr>
          <w:rFonts w:hint="eastAsia" w:asciiTheme="minorEastAsia" w:hAnsiTheme="minorEastAsia" w:cstheme="minorEastAsia"/>
          <w:b/>
          <w:bCs/>
          <w:sz w:val="28"/>
          <w:szCs w:val="28"/>
          <w:lang w:val="en-US" w:eastAsia="zh-CN"/>
        </w:rPr>
        <w:t>徐汇</w:t>
      </w:r>
      <w:r>
        <w:rPr>
          <w:rFonts w:hint="eastAsia" w:asciiTheme="minorEastAsia" w:hAnsiTheme="minorEastAsia" w:cstheme="minorEastAsia"/>
          <w:b/>
          <w:bCs/>
          <w:sz w:val="28"/>
          <w:szCs w:val="28"/>
        </w:rPr>
        <w:t>校区生活垃圾投放评比区域</w:t>
      </w:r>
    </w:p>
    <w:tbl>
      <w:tblPr>
        <w:tblStyle w:val="5"/>
        <w:tblpPr w:leftFromText="180" w:rightFromText="180" w:vertAnchor="text" w:horzAnchor="page" w:tblpX="1792" w:tblpY="586"/>
        <w:tblOverlap w:val="never"/>
        <w:tblW w:w="8565" w:type="dxa"/>
        <w:tblInd w:w="0" w:type="dxa"/>
        <w:tblLayout w:type="fixed"/>
        <w:tblCellMar>
          <w:top w:w="0" w:type="dxa"/>
          <w:left w:w="0" w:type="dxa"/>
          <w:bottom w:w="0" w:type="dxa"/>
          <w:right w:w="0" w:type="dxa"/>
        </w:tblCellMar>
      </w:tblPr>
      <w:tblGrid>
        <w:gridCol w:w="945"/>
        <w:gridCol w:w="3690"/>
        <w:gridCol w:w="3930"/>
      </w:tblGrid>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cstheme="minorEastAsia"/>
                <w:b/>
                <w:bCs/>
                <w:color w:val="000000"/>
                <w:kern w:val="0"/>
                <w:sz w:val="24"/>
                <w:lang w:val="en-US" w:eastAsia="zh-CN" w:bidi="ar"/>
              </w:rPr>
            </w:pPr>
            <w:r>
              <w:rPr>
                <w:rFonts w:hint="eastAsia" w:asciiTheme="minorEastAsia" w:hAnsiTheme="minorEastAsia" w:cstheme="minorEastAsia"/>
                <w:b/>
                <w:bCs/>
                <w:color w:val="000000"/>
                <w:kern w:val="0"/>
                <w:sz w:val="24"/>
                <w:lang w:val="en-US" w:eastAsia="zh-CN" w:bidi="ar"/>
              </w:rPr>
              <w:t>序号</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kern w:val="2"/>
                <w:sz w:val="24"/>
                <w:szCs w:val="24"/>
                <w:lang w:val="en-US" w:eastAsia="zh-CN" w:bidi="ar-SA"/>
              </w:rPr>
            </w:pPr>
            <w:r>
              <w:rPr>
                <w:rFonts w:hint="eastAsia" w:asciiTheme="minorEastAsia" w:hAnsiTheme="minorEastAsia" w:cstheme="minorEastAsia"/>
                <w:b/>
                <w:bCs/>
                <w:color w:val="000000"/>
                <w:kern w:val="0"/>
                <w:sz w:val="24"/>
                <w:lang w:bidi="ar"/>
              </w:rPr>
              <w:t>评定区域</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kern w:val="2"/>
                <w:sz w:val="24"/>
                <w:szCs w:val="24"/>
                <w:lang w:val="en-US" w:eastAsia="zh-CN" w:bidi="ar-SA"/>
              </w:rPr>
            </w:pPr>
            <w:r>
              <w:rPr>
                <w:rFonts w:hint="eastAsia" w:asciiTheme="minorEastAsia" w:hAnsiTheme="minorEastAsia" w:cstheme="minorEastAsia"/>
                <w:b/>
                <w:bCs/>
                <w:color w:val="000000"/>
                <w:kern w:val="0"/>
                <w:sz w:val="24"/>
                <w:lang w:bidi="ar"/>
              </w:rPr>
              <w:t>所属部门（学院）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1</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零陵路530号1F-3F开水箱旁</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离退休工作处</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2</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零陵路530号4F-5F电梯监控旁</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继续教育学院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3</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零陵路530号6F开水箱旁</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继续教育学院、国际教育学院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4</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零陵路530号7F-8F开水箱旁</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国际教育学院</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5</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零陵路530号9F开水箱旁</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both"/>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继续教育学院、国际教育学院、资产管理处</w:t>
            </w:r>
          </w:p>
        </w:tc>
      </w:tr>
      <w:tr>
        <w:tblPrEx>
          <w:tblCellMar>
            <w:top w:w="0" w:type="dxa"/>
            <w:left w:w="0" w:type="dxa"/>
            <w:bottom w:w="0" w:type="dxa"/>
            <w:right w:w="0" w:type="dxa"/>
          </w:tblCellMar>
        </w:tblPrEx>
        <w:trPr>
          <w:trHeight w:val="697" w:hRule="atLeast"/>
        </w:trPr>
        <w:tc>
          <w:tcPr>
            <w:tcW w:w="94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6</w:t>
            </w:r>
          </w:p>
        </w:tc>
        <w:tc>
          <w:tcPr>
            <w:tcW w:w="369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宛平南路650号</w:t>
            </w:r>
          </w:p>
        </w:tc>
        <w:tc>
          <w:tcPr>
            <w:tcW w:w="393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cstheme="minorEastAsia"/>
                <w:color w:val="000000"/>
                <w:kern w:val="0"/>
                <w:sz w:val="24"/>
                <w:lang w:val="en-US" w:eastAsia="zh-CN" w:bidi="ar"/>
              </w:rPr>
            </w:pPr>
            <w:r>
              <w:rPr>
                <w:rFonts w:hint="eastAsia" w:ascii="宋体" w:hAnsi="宋体" w:eastAsia="宋体" w:cs="宋体"/>
                <w:i w:val="0"/>
                <w:color w:val="000000"/>
                <w:kern w:val="0"/>
                <w:sz w:val="24"/>
                <w:szCs w:val="24"/>
                <w:u w:val="none"/>
                <w:lang w:val="en-US" w:eastAsia="zh-CN" w:bidi="ar"/>
              </w:rPr>
              <w:t>公共区域</w:t>
            </w:r>
          </w:p>
        </w:tc>
      </w:tr>
    </w:tbl>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附件3：</w:t>
      </w:r>
    </w:p>
    <w:p>
      <w:pPr>
        <w:spacing w:line="360" w:lineRule="auto"/>
        <w:rPr>
          <w:rFonts w:asciiTheme="minorEastAsia" w:hAnsiTheme="minorEastAsia" w:cstheme="minorEastAsia"/>
          <w:b/>
          <w:bCs/>
          <w:sz w:val="28"/>
          <w:szCs w:val="28"/>
        </w:rPr>
      </w:pPr>
    </w:p>
    <w:p>
      <w:pPr>
        <w:spacing w:line="360" w:lineRule="auto"/>
        <w:ind w:firstLine="281" w:firstLineChars="10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上海中医药大学生活园区生活垃圾投放评比区域</w:t>
      </w:r>
    </w:p>
    <w:p>
      <w:pPr>
        <w:spacing w:line="360" w:lineRule="auto"/>
        <w:rPr>
          <w:rFonts w:asciiTheme="minorEastAsia" w:hAnsiTheme="minorEastAsia" w:cstheme="minorEastAsia"/>
          <w:b/>
          <w:bCs/>
          <w:sz w:val="28"/>
          <w:szCs w:val="28"/>
        </w:rPr>
      </w:pPr>
    </w:p>
    <w:tbl>
      <w:tblPr>
        <w:tblStyle w:val="5"/>
        <w:tblW w:w="9060" w:type="dxa"/>
        <w:tblInd w:w="0" w:type="dxa"/>
        <w:tblLayout w:type="autofit"/>
        <w:tblCellMar>
          <w:top w:w="0" w:type="dxa"/>
          <w:left w:w="0" w:type="dxa"/>
          <w:bottom w:w="0" w:type="dxa"/>
          <w:right w:w="0" w:type="dxa"/>
        </w:tblCellMar>
      </w:tblPr>
      <w:tblGrid>
        <w:gridCol w:w="750"/>
        <w:gridCol w:w="2325"/>
        <w:gridCol w:w="5985"/>
      </w:tblGrid>
      <w:tr>
        <w:tblPrEx>
          <w:tblCellMar>
            <w:top w:w="0" w:type="dxa"/>
            <w:left w:w="0" w:type="dxa"/>
            <w:bottom w:w="0" w:type="dxa"/>
            <w:right w:w="0" w:type="dxa"/>
          </w:tblCellMar>
        </w:tblPrEx>
        <w:trPr>
          <w:trHeight w:val="31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lang w:bidi="ar"/>
              </w:rPr>
              <w:t>序号</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sz w:val="24"/>
              </w:rPr>
              <w:t>评比区域</w:t>
            </w:r>
          </w:p>
        </w:tc>
        <w:tc>
          <w:tcPr>
            <w:tcW w:w="59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lang w:bidi="ar"/>
              </w:rPr>
              <w:t>共享使用楼栋范围</w:t>
            </w:r>
          </w:p>
        </w:tc>
      </w:tr>
      <w:tr>
        <w:tblPrEx>
          <w:tblCellMar>
            <w:top w:w="0" w:type="dxa"/>
            <w:left w:w="0" w:type="dxa"/>
            <w:bottom w:w="0" w:type="dxa"/>
            <w:right w:w="0" w:type="dxa"/>
          </w:tblCellMar>
        </w:tblPrEx>
        <w:trPr>
          <w:trHeight w:val="31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59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r>
      <w:tr>
        <w:tblPrEx>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3幢4号附近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2幢3号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3幢4号</w:t>
            </w:r>
          </w:p>
        </w:tc>
      </w:tr>
      <w:tr>
        <w:tblPrEx>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4幢6号附近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4幢6号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4幢7号</w:t>
            </w:r>
          </w:p>
        </w:tc>
      </w:tr>
      <w:tr>
        <w:tblPrEx>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5幢8号附近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5幢8号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6幢9号</w:t>
            </w:r>
          </w:p>
        </w:tc>
      </w:tr>
      <w:tr>
        <w:tblPrEx>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9幢12号附近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9幢12号</w:t>
            </w:r>
          </w:p>
        </w:tc>
      </w:tr>
      <w:tr>
        <w:tblPrEx>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11幢14号附近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11幢14号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12幢15号</w:t>
            </w:r>
          </w:p>
        </w:tc>
      </w:tr>
      <w:tr>
        <w:tblPrEx>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14幢17号附近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13幢16号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14幢17号</w:t>
            </w:r>
          </w:p>
        </w:tc>
      </w:tr>
      <w:tr>
        <w:tblPrEx>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15幢18号附近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15幢18号</w:t>
            </w:r>
          </w:p>
        </w:tc>
      </w:tr>
      <w:tr>
        <w:tblPrEx>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16幢19号附近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16幢19号</w:t>
            </w:r>
          </w:p>
        </w:tc>
      </w:tr>
      <w:tr>
        <w:tblPrEx>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18幢22号附近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17幢20号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18幢22号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19幢23号</w:t>
            </w:r>
          </w:p>
        </w:tc>
      </w:tr>
      <w:tr>
        <w:tblPrEx>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19幢23号附近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21幢26号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22幢27号</w:t>
            </w:r>
          </w:p>
        </w:tc>
      </w:tr>
      <w:tr>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23幢28号</w:t>
            </w:r>
          </w:p>
        </w:tc>
      </w:tr>
      <w:tr>
        <w:tblPrEx>
          <w:tblCellMar>
            <w:top w:w="0" w:type="dxa"/>
            <w:left w:w="0" w:type="dxa"/>
            <w:bottom w:w="0" w:type="dxa"/>
            <w:right w:w="0" w:type="dxa"/>
          </w:tblCellMar>
        </w:tblPrEx>
        <w:trPr>
          <w:trHeight w:val="7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一期5号附近                  （中医大校区内）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一期5号</w:t>
            </w:r>
          </w:p>
        </w:tc>
      </w:tr>
    </w:tbl>
    <w:p>
      <w:pPr>
        <w:spacing w:line="360" w:lineRule="auto"/>
        <w:jc w:val="center"/>
        <w:rPr>
          <w:rFonts w:asciiTheme="minorEastAsia" w:hAnsiTheme="minorEastAsia" w:cstheme="minorEastAsia"/>
          <w:bCs/>
          <w:sz w:val="24"/>
          <w:u w:val="single"/>
        </w:rPr>
      </w:pPr>
    </w:p>
    <w:p>
      <w:pPr>
        <w:spacing w:line="360" w:lineRule="auto"/>
        <w:jc w:val="center"/>
        <w:rPr>
          <w:rFonts w:asciiTheme="minorEastAsia" w:hAnsiTheme="minorEastAsia" w:cstheme="minorEastAsia"/>
          <w:bCs/>
          <w:sz w:val="24"/>
          <w:u w:val="single"/>
        </w:rPr>
      </w:pPr>
    </w:p>
    <w:p>
      <w:pPr>
        <w:spacing w:line="360" w:lineRule="auto"/>
        <w:jc w:val="center"/>
        <w:rPr>
          <w:rFonts w:asciiTheme="minorEastAsia" w:hAnsiTheme="minorEastAsia" w:cstheme="minorEastAsia"/>
          <w:bCs/>
          <w:sz w:val="24"/>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746989"/>
    <w:rsid w:val="001136C4"/>
    <w:rsid w:val="00182595"/>
    <w:rsid w:val="001A0056"/>
    <w:rsid w:val="00244CE3"/>
    <w:rsid w:val="002D3A72"/>
    <w:rsid w:val="00362A05"/>
    <w:rsid w:val="00365FD6"/>
    <w:rsid w:val="003B4C8B"/>
    <w:rsid w:val="003D61F6"/>
    <w:rsid w:val="004B3317"/>
    <w:rsid w:val="00524720"/>
    <w:rsid w:val="006D2300"/>
    <w:rsid w:val="007226E9"/>
    <w:rsid w:val="0078203B"/>
    <w:rsid w:val="0078468C"/>
    <w:rsid w:val="00785AEC"/>
    <w:rsid w:val="00825ABF"/>
    <w:rsid w:val="00832326"/>
    <w:rsid w:val="00884847"/>
    <w:rsid w:val="008F2236"/>
    <w:rsid w:val="00A331BD"/>
    <w:rsid w:val="00A3430F"/>
    <w:rsid w:val="00AB644F"/>
    <w:rsid w:val="00B742A8"/>
    <w:rsid w:val="00CD3181"/>
    <w:rsid w:val="00CF0C31"/>
    <w:rsid w:val="00CF17F0"/>
    <w:rsid w:val="00E85C60"/>
    <w:rsid w:val="00FA7D4F"/>
    <w:rsid w:val="01951755"/>
    <w:rsid w:val="07954F11"/>
    <w:rsid w:val="0FA752AA"/>
    <w:rsid w:val="0FFA1AED"/>
    <w:rsid w:val="17467444"/>
    <w:rsid w:val="18081F30"/>
    <w:rsid w:val="1A0E1953"/>
    <w:rsid w:val="24433520"/>
    <w:rsid w:val="2EDF3D8E"/>
    <w:rsid w:val="35384E15"/>
    <w:rsid w:val="354D0D96"/>
    <w:rsid w:val="363D7DFB"/>
    <w:rsid w:val="37B04C65"/>
    <w:rsid w:val="3C7114BD"/>
    <w:rsid w:val="3DB231D1"/>
    <w:rsid w:val="4FF6183E"/>
    <w:rsid w:val="5B621080"/>
    <w:rsid w:val="5F003708"/>
    <w:rsid w:val="69C4465D"/>
    <w:rsid w:val="743F3980"/>
    <w:rsid w:val="74C71071"/>
    <w:rsid w:val="76DD3E14"/>
    <w:rsid w:val="7AA744CC"/>
    <w:rsid w:val="7D746989"/>
    <w:rsid w:val="7F694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1">
    <w:name w:val="item-name"/>
    <w:basedOn w:val="7"/>
    <w:qFormat/>
    <w:uiPriority w:val="0"/>
  </w:style>
  <w:style w:type="character" w:customStyle="1" w:styleId="12">
    <w:name w:val="item-name1"/>
    <w:basedOn w:val="7"/>
    <w:qFormat/>
    <w:uiPriority w:val="0"/>
  </w:style>
  <w:style w:type="character" w:customStyle="1" w:styleId="13">
    <w:name w:val="item-name2"/>
    <w:basedOn w:val="7"/>
    <w:qFormat/>
    <w:uiPriority w:val="0"/>
  </w:style>
  <w:style w:type="character" w:customStyle="1" w:styleId="14">
    <w:name w:val="bsharetext"/>
    <w:basedOn w:val="7"/>
    <w:qFormat/>
    <w:uiPriority w:val="0"/>
  </w:style>
  <w:style w:type="paragraph" w:customStyle="1" w:styleId="15">
    <w:name w:val="p0"/>
    <w:basedOn w:val="1"/>
    <w:qFormat/>
    <w:uiPriority w:val="0"/>
    <w:rPr>
      <w:rFonts w:ascii="Times New Roman" w:hAnsi="Times New Roman" w:eastAsia="宋体" w:cs="Times New Roman"/>
      <w:kern w:val="0"/>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443</Words>
  <Characters>2529</Characters>
  <Lines>21</Lines>
  <Paragraphs>5</Paragraphs>
  <TotalTime>1</TotalTime>
  <ScaleCrop>false</ScaleCrop>
  <LinksUpToDate>false</LinksUpToDate>
  <CharactersWithSpaces>2967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2019-10-28T02:53:00Z</dcterms:created>
  <dc:creator>榕树下</dc:creator>
  <cp:lastModifiedBy>榕树下</cp:lastModifiedBy>
  <dcterms:modified xsi:type="dcterms:W3CDTF">2019-12-12T05:49:24Z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