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6A" w:rsidRPr="0034784C" w:rsidRDefault="00B266B1">
      <w:pPr>
        <w:jc w:val="center"/>
        <w:rPr>
          <w:rFonts w:ascii="黑体" w:eastAsia="黑体" w:hAnsi="微软雅黑"/>
          <w:sz w:val="32"/>
          <w:szCs w:val="32"/>
        </w:rPr>
      </w:pPr>
      <w:r w:rsidRPr="0034784C">
        <w:rPr>
          <w:rFonts w:ascii="黑体" w:eastAsia="黑体" w:hint="eastAsia"/>
          <w:b/>
          <w:bCs/>
          <w:sz w:val="32"/>
          <w:szCs w:val="32"/>
        </w:rPr>
        <w:t>上海中医药大学垃圾分类集中投放优秀示范点评比办法</w:t>
      </w:r>
    </w:p>
    <w:p w:rsidR="00E15A6A" w:rsidRDefault="00E15A6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:rsidR="00E15A6A" w:rsidRPr="00570451" w:rsidRDefault="00B266B1">
      <w:pPr>
        <w:widowControl/>
        <w:spacing w:line="360" w:lineRule="auto"/>
        <w:ind w:firstLineChars="200" w:firstLine="560"/>
        <w:jc w:val="left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为营造干净、有序、优美的工作生活环境，进一步加强垃圾分类工作精细化管理。根据《上海中医药大学生活垃圾分类实施办法(试行)》，结合我校的实际情况，</w:t>
      </w:r>
      <w:r w:rsidR="00D23224" w:rsidRPr="00570451">
        <w:rPr>
          <w:rFonts w:ascii="微软雅黑" w:eastAsia="微软雅黑" w:hAnsi="微软雅黑" w:cstheme="minorEastAsia" w:hint="eastAsia"/>
          <w:sz w:val="28"/>
          <w:szCs w:val="28"/>
        </w:rPr>
        <w:t>特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制定《上海中医药大学垃圾分类流动红旗评比办法》。</w:t>
      </w:r>
    </w:p>
    <w:p w:rsidR="00E15A6A" w:rsidRPr="00570451" w:rsidRDefault="00B266B1">
      <w:pPr>
        <w:spacing w:line="360" w:lineRule="auto"/>
        <w:rPr>
          <w:rFonts w:ascii="微软雅黑" w:eastAsia="微软雅黑" w:hAnsi="微软雅黑" w:cs="Times New Roman"/>
          <w:b/>
          <w:color w:val="000000"/>
          <w:sz w:val="28"/>
          <w:szCs w:val="28"/>
        </w:rPr>
      </w:pPr>
      <w:r w:rsidRPr="00570451">
        <w:rPr>
          <w:rFonts w:ascii="微软雅黑" w:eastAsia="微软雅黑" w:hAnsi="微软雅黑" w:cs="Times New Roman"/>
          <w:b/>
          <w:color w:val="000000"/>
          <w:sz w:val="28"/>
          <w:szCs w:val="28"/>
        </w:rPr>
        <w:t>1、工作目标</w:t>
      </w:r>
    </w:p>
    <w:p w:rsidR="00E15A6A" w:rsidRPr="00570451" w:rsidRDefault="00B266B1">
      <w:pPr>
        <w:widowControl/>
        <w:spacing w:line="360" w:lineRule="auto"/>
        <w:ind w:firstLineChars="200" w:firstLine="560"/>
        <w:jc w:val="left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紧紧围绕以建立学校生活垃圾分类工作常态化、长效化，实现校内生活垃圾“减量化、资源化、无害化”为目标，通过加强硬件建设、引入评比机制，营造师生共同参与垃圾分类的良好氛围，着力提升分类实效，实现学校生活垃圾的全过程分类管理。评比以动态考评为基础，按照日常巡查与集中抽查相结合的原则，实现过程管理与目标管理相结合，评选出垃圾分类集中投放优秀示范点，并授予流动红旗，以此引导师生不断增强环保意识，养成随手分类好习惯，持续推进生活垃圾分类管理工作。</w:t>
      </w:r>
    </w:p>
    <w:p w:rsidR="00E15A6A" w:rsidRPr="00570451" w:rsidRDefault="00B266B1">
      <w:pPr>
        <w:spacing w:line="360" w:lineRule="auto"/>
        <w:rPr>
          <w:rFonts w:ascii="微软雅黑" w:eastAsia="微软雅黑" w:hAnsi="微软雅黑" w:cs="Times New Roman"/>
          <w:b/>
          <w:color w:val="000000"/>
          <w:sz w:val="28"/>
          <w:szCs w:val="28"/>
        </w:rPr>
      </w:pPr>
      <w:r w:rsidRPr="0057045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2、评比范围</w:t>
      </w:r>
    </w:p>
    <w:p w:rsidR="00E15A6A" w:rsidRPr="00570451" w:rsidRDefault="00B266B1">
      <w:pPr>
        <w:widowControl/>
        <w:spacing w:line="360" w:lineRule="auto"/>
        <w:ind w:firstLine="541"/>
        <w:jc w:val="left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徐汇校区、张江校区、张江学生生活园区垃圾分类投放区域和投放点。</w:t>
      </w:r>
    </w:p>
    <w:p w:rsidR="00E15A6A" w:rsidRPr="00570451" w:rsidRDefault="00B266B1">
      <w:pPr>
        <w:spacing w:line="360" w:lineRule="auto"/>
        <w:rPr>
          <w:rFonts w:ascii="微软雅黑" w:eastAsia="微软雅黑" w:hAnsi="微软雅黑" w:cs="Times New Roman"/>
          <w:b/>
          <w:color w:val="000000"/>
          <w:sz w:val="28"/>
          <w:szCs w:val="28"/>
        </w:rPr>
      </w:pPr>
      <w:r w:rsidRPr="0057045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3、评比小组</w:t>
      </w:r>
    </w:p>
    <w:p w:rsidR="00E15A6A" w:rsidRPr="00570451" w:rsidRDefault="00B266B1">
      <w:pPr>
        <w:widowControl/>
        <w:spacing w:line="360" w:lineRule="auto"/>
        <w:ind w:firstLineChars="200" w:firstLine="560"/>
        <w:jc w:val="left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成立上海中医药大学大学生活垃圾分类管理工作评比小组，评比小组成员由后勤保障处、物业公司、职工代表、学生代表等组成。</w:t>
      </w:r>
    </w:p>
    <w:p w:rsidR="00E15A6A" w:rsidRPr="00570451" w:rsidRDefault="00B266B1">
      <w:pPr>
        <w:spacing w:line="360" w:lineRule="auto"/>
        <w:rPr>
          <w:rFonts w:ascii="微软雅黑" w:eastAsia="微软雅黑" w:hAnsi="微软雅黑" w:cs="Times New Roman"/>
          <w:b/>
          <w:color w:val="000000"/>
          <w:sz w:val="28"/>
          <w:szCs w:val="28"/>
        </w:rPr>
      </w:pPr>
      <w:r w:rsidRPr="0057045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4、评比方式</w:t>
      </w:r>
    </w:p>
    <w:p w:rsidR="00E15A6A" w:rsidRPr="00570451" w:rsidRDefault="00B266B1">
      <w:pPr>
        <w:spacing w:line="360" w:lineRule="auto"/>
        <w:ind w:firstLineChars="200" w:firstLine="560"/>
        <w:rPr>
          <w:rFonts w:ascii="微软雅黑" w:eastAsia="微软雅黑" w:hAnsi="微软雅黑" w:cstheme="minorEastAsia"/>
          <w:b/>
          <w:bCs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sz w:val="28"/>
          <w:szCs w:val="28"/>
        </w:rPr>
        <w:lastRenderedPageBreak/>
        <w:t>采取日常巡查、月度检查、不定期抽查等方式进行考评，并定期将评比结果在一定范围内进行通报、公布。</w:t>
      </w:r>
    </w:p>
    <w:p w:rsidR="00E15A6A" w:rsidRPr="00570451" w:rsidRDefault="00B266B1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570451">
        <w:rPr>
          <w:rFonts w:ascii="微软雅黑" w:eastAsia="微软雅黑" w:hAnsi="微软雅黑" w:hint="eastAsia"/>
          <w:sz w:val="28"/>
          <w:szCs w:val="28"/>
        </w:rPr>
        <w:t>（1）日常巡查</w:t>
      </w:r>
    </w:p>
    <w:p w:rsidR="00E15A6A" w:rsidRPr="00570451" w:rsidRDefault="00B266B1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570451">
        <w:rPr>
          <w:rFonts w:ascii="微软雅黑" w:eastAsia="微软雅黑" w:hAnsi="微软雅黑" w:hint="eastAsia"/>
          <w:sz w:val="28"/>
          <w:szCs w:val="28"/>
        </w:rPr>
        <w:t>由后勤保障处联合物业公司工作人员每日在</w:t>
      </w:r>
      <w:proofErr w:type="gramStart"/>
      <w:r w:rsidRPr="00570451">
        <w:rPr>
          <w:rFonts w:ascii="微软雅黑" w:eastAsia="微软雅黑" w:hAnsi="微软雅黑" w:hint="eastAsia"/>
          <w:sz w:val="28"/>
          <w:szCs w:val="28"/>
        </w:rPr>
        <w:t>各集中</w:t>
      </w:r>
      <w:proofErr w:type="gramEnd"/>
      <w:r w:rsidRPr="00570451">
        <w:rPr>
          <w:rFonts w:ascii="微软雅黑" w:eastAsia="微软雅黑" w:hAnsi="微软雅黑" w:hint="eastAsia"/>
          <w:sz w:val="28"/>
          <w:szCs w:val="28"/>
        </w:rPr>
        <w:t>投放点巡检垃圾投放分类情况。</w:t>
      </w:r>
    </w:p>
    <w:p w:rsidR="00E15A6A" w:rsidRPr="00570451" w:rsidRDefault="00B266B1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570451">
        <w:rPr>
          <w:rFonts w:ascii="微软雅黑" w:eastAsia="微软雅黑" w:hAnsi="微软雅黑" w:hint="eastAsia"/>
          <w:sz w:val="28"/>
          <w:szCs w:val="28"/>
        </w:rPr>
        <w:t>（2）每月定期检查</w:t>
      </w:r>
    </w:p>
    <w:p w:rsidR="00E15A6A" w:rsidRPr="00570451" w:rsidRDefault="00B266B1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570451">
        <w:rPr>
          <w:rFonts w:ascii="微软雅黑" w:eastAsia="微软雅黑" w:hAnsi="微软雅黑" w:hint="eastAsia"/>
          <w:sz w:val="28"/>
          <w:szCs w:val="28"/>
        </w:rPr>
        <w:t>每月下旬开展月度定期检查，月度检查工作由评比小组成员集中巡视检查。</w:t>
      </w:r>
    </w:p>
    <w:p w:rsidR="00E15A6A" w:rsidRPr="00570451" w:rsidRDefault="00B266B1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570451">
        <w:rPr>
          <w:rFonts w:ascii="微软雅黑" w:eastAsia="微软雅黑" w:hAnsi="微软雅黑" w:hint="eastAsia"/>
          <w:sz w:val="28"/>
          <w:szCs w:val="28"/>
        </w:rPr>
        <w:t>（3）不定期抽查</w:t>
      </w:r>
    </w:p>
    <w:p w:rsidR="00E15A6A" w:rsidRPr="00570451" w:rsidRDefault="00B266B1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570451">
        <w:rPr>
          <w:rFonts w:ascii="微软雅黑" w:eastAsia="微软雅黑" w:hAnsi="微软雅黑" w:hint="eastAsia"/>
          <w:sz w:val="28"/>
          <w:szCs w:val="28"/>
        </w:rPr>
        <w:t>评比小组成员不定期组织开展抽查工作，重点范围是月度检查工作中排名靠后</w:t>
      </w:r>
      <w:r w:rsidR="00D23224" w:rsidRPr="00570451">
        <w:rPr>
          <w:rFonts w:ascii="微软雅黑" w:eastAsia="微软雅黑" w:hAnsi="微软雅黑" w:hint="eastAsia"/>
          <w:sz w:val="28"/>
          <w:szCs w:val="28"/>
        </w:rPr>
        <w:t>的</w:t>
      </w:r>
      <w:r w:rsidRPr="00570451">
        <w:rPr>
          <w:rFonts w:ascii="微软雅黑" w:eastAsia="微软雅黑" w:hAnsi="微软雅黑" w:hint="eastAsia"/>
          <w:sz w:val="28"/>
          <w:szCs w:val="28"/>
        </w:rPr>
        <w:t>垃圾投放区域。</w:t>
      </w:r>
    </w:p>
    <w:p w:rsidR="00E15A6A" w:rsidRPr="00570451" w:rsidRDefault="00B266B1">
      <w:pPr>
        <w:spacing w:line="360" w:lineRule="auto"/>
        <w:rPr>
          <w:rFonts w:ascii="微软雅黑" w:eastAsia="微软雅黑" w:hAnsi="微软雅黑" w:cs="Times New Roman"/>
          <w:b/>
          <w:color w:val="000000"/>
          <w:sz w:val="28"/>
          <w:szCs w:val="28"/>
        </w:rPr>
      </w:pPr>
      <w:r w:rsidRPr="0057045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5、评分标准</w:t>
      </w:r>
    </w:p>
    <w:p w:rsidR="00E15A6A" w:rsidRPr="00570451" w:rsidRDefault="00B266B1">
      <w:pPr>
        <w:spacing w:line="360" w:lineRule="auto"/>
        <w:ind w:firstLineChars="200" w:firstLine="560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垃圾分类流动红旗的评比以垃圾分类投放正确、垃圾减量、师生参与度、垃圾分类纯度为标准。采取等级制评分管理，分为“优</w:t>
      </w:r>
      <w:r w:rsidRPr="00570451">
        <w:rPr>
          <w:rFonts w:ascii="微软雅黑" w:eastAsia="微软雅黑" w:hAnsi="微软雅黑" w:cstheme="minorEastAsia"/>
          <w:sz w:val="28"/>
          <w:szCs w:val="28"/>
        </w:rPr>
        <w:t>”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、“良</w:t>
      </w:r>
      <w:r w:rsidRPr="00570451">
        <w:rPr>
          <w:rFonts w:ascii="微软雅黑" w:eastAsia="微软雅黑" w:hAnsi="微软雅黑" w:cstheme="minorEastAsia"/>
          <w:sz w:val="28"/>
          <w:szCs w:val="28"/>
        </w:rPr>
        <w:t>”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、“中</w:t>
      </w:r>
      <w:r w:rsidRPr="00570451">
        <w:rPr>
          <w:rFonts w:ascii="微软雅黑" w:eastAsia="微软雅黑" w:hAnsi="微软雅黑" w:cstheme="minorEastAsia"/>
          <w:sz w:val="28"/>
          <w:szCs w:val="28"/>
        </w:rPr>
        <w:t>”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、“差</w:t>
      </w:r>
      <w:r w:rsidRPr="00570451">
        <w:rPr>
          <w:rFonts w:ascii="微软雅黑" w:eastAsia="微软雅黑" w:hAnsi="微软雅黑" w:cstheme="minorEastAsia"/>
          <w:sz w:val="28"/>
          <w:szCs w:val="28"/>
        </w:rPr>
        <w:t>”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四个等级，每个月公布检查情况。获得“优”等级的垃圾投放处授予流动红旗。“优</w:t>
      </w:r>
      <w:r w:rsidRPr="00570451">
        <w:rPr>
          <w:rFonts w:ascii="微软雅黑" w:eastAsia="微软雅黑" w:hAnsi="微软雅黑" w:cstheme="minorEastAsia"/>
          <w:sz w:val="28"/>
          <w:szCs w:val="28"/>
        </w:rPr>
        <w:t>”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、“良</w:t>
      </w:r>
      <w:r w:rsidRPr="00570451">
        <w:rPr>
          <w:rFonts w:ascii="微软雅黑" w:eastAsia="微软雅黑" w:hAnsi="微软雅黑" w:cstheme="minorEastAsia"/>
          <w:sz w:val="28"/>
          <w:szCs w:val="28"/>
        </w:rPr>
        <w:t>”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、“中</w:t>
      </w:r>
      <w:r w:rsidRPr="00570451">
        <w:rPr>
          <w:rFonts w:ascii="微软雅黑" w:eastAsia="微软雅黑" w:hAnsi="微软雅黑" w:cstheme="minorEastAsia"/>
          <w:sz w:val="28"/>
          <w:szCs w:val="28"/>
        </w:rPr>
        <w:t>”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、“差</w:t>
      </w:r>
      <w:r w:rsidRPr="00570451">
        <w:rPr>
          <w:rFonts w:ascii="微软雅黑" w:eastAsia="微软雅黑" w:hAnsi="微软雅黑" w:cstheme="minorEastAsia"/>
          <w:sz w:val="28"/>
          <w:szCs w:val="28"/>
        </w:rPr>
        <w:t>”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标准的评估依据如下：</w:t>
      </w:r>
    </w:p>
    <w:p w:rsidR="00E15A6A" w:rsidRPr="00570451" w:rsidRDefault="00B266B1" w:rsidP="00570451">
      <w:pPr>
        <w:spacing w:line="360" w:lineRule="auto"/>
        <w:ind w:firstLineChars="200" w:firstLine="560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b/>
          <w:sz w:val="28"/>
          <w:szCs w:val="28"/>
        </w:rPr>
        <w:t>优：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干垃圾、湿垃圾、可回收垃圾、有害垃圾分类投放正确；师生主动参与垃圾分类，积极配合；垃圾分类纯净度高（纯净度大于95%），各类垃圾无混合；无小包垃圾落地，垃圾投放</w:t>
      </w:r>
      <w:proofErr w:type="gramStart"/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处整体</w:t>
      </w:r>
      <w:proofErr w:type="gramEnd"/>
      <w:r w:rsidRPr="00570451">
        <w:rPr>
          <w:rFonts w:ascii="微软雅黑" w:eastAsia="微软雅黑" w:hAnsi="微软雅黑" w:cstheme="minorEastAsia" w:hint="eastAsia"/>
          <w:sz w:val="28"/>
          <w:szCs w:val="28"/>
        </w:rPr>
        <w:t>环境好；垃圾减量成效显著。</w:t>
      </w:r>
    </w:p>
    <w:p w:rsidR="00E15A6A" w:rsidRPr="00570451" w:rsidRDefault="00B266B1" w:rsidP="00570451">
      <w:pPr>
        <w:spacing w:line="360" w:lineRule="auto"/>
        <w:ind w:firstLineChars="200" w:firstLine="560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b/>
          <w:sz w:val="28"/>
          <w:szCs w:val="28"/>
        </w:rPr>
        <w:t>良：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干垃圾、湿垃圾、可回收垃圾、有害垃圾分类投放正确；师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lastRenderedPageBreak/>
        <w:t>生主动参与垃圾分类，较为配合；垃圾分类纯净度高（纯净度在90%-95%之间），各类垃圾微量混合；无小包垃圾落地，垃圾投放</w:t>
      </w:r>
      <w:proofErr w:type="gramStart"/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处整体</w:t>
      </w:r>
      <w:proofErr w:type="gramEnd"/>
      <w:r w:rsidRPr="00570451">
        <w:rPr>
          <w:rFonts w:ascii="微软雅黑" w:eastAsia="微软雅黑" w:hAnsi="微软雅黑" w:cstheme="minorEastAsia" w:hint="eastAsia"/>
          <w:sz w:val="28"/>
          <w:szCs w:val="28"/>
        </w:rPr>
        <w:t>环境较好；基本做到垃圾减量。</w:t>
      </w:r>
    </w:p>
    <w:p w:rsidR="00E15A6A" w:rsidRPr="00570451" w:rsidRDefault="00B266B1" w:rsidP="00570451">
      <w:pPr>
        <w:spacing w:line="360" w:lineRule="auto"/>
        <w:ind w:firstLineChars="200" w:firstLine="560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b/>
          <w:sz w:val="28"/>
          <w:szCs w:val="28"/>
        </w:rPr>
        <w:t>中：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干垃圾、湿垃圾、可回收垃圾、有害垃圾分类投放正确；师生参与垃圾分类；垃圾分类纯净度高（纯净度在85%-90%之间），各类垃圾少量混合；少量小包垃圾落地，垃圾投放</w:t>
      </w:r>
      <w:proofErr w:type="gramStart"/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处整体</w:t>
      </w:r>
      <w:proofErr w:type="gramEnd"/>
      <w:r w:rsidRPr="00570451">
        <w:rPr>
          <w:rFonts w:ascii="微软雅黑" w:eastAsia="微软雅黑" w:hAnsi="微软雅黑" w:cstheme="minorEastAsia" w:hint="eastAsia"/>
          <w:sz w:val="28"/>
          <w:szCs w:val="28"/>
        </w:rPr>
        <w:t>环境一般；未做到垃圾减量。</w:t>
      </w:r>
    </w:p>
    <w:p w:rsidR="00E15A6A" w:rsidRPr="00570451" w:rsidRDefault="00B266B1" w:rsidP="00570451">
      <w:pPr>
        <w:spacing w:line="360" w:lineRule="auto"/>
        <w:ind w:firstLineChars="200" w:firstLine="560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b/>
          <w:sz w:val="28"/>
          <w:szCs w:val="28"/>
        </w:rPr>
        <w:t>差：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干垃圾、湿垃圾、可回收垃圾、有害垃圾分类投放不正确；师生不主动参与垃圾分类；垃圾分类纯净度较差（小于85%），各类垃圾大量混合；大量小包垃圾落地，垃圾投放</w:t>
      </w:r>
      <w:proofErr w:type="gramStart"/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处整体</w:t>
      </w:r>
      <w:proofErr w:type="gramEnd"/>
      <w:r w:rsidRPr="00570451">
        <w:rPr>
          <w:rFonts w:ascii="微软雅黑" w:eastAsia="微软雅黑" w:hAnsi="微软雅黑" w:cstheme="minorEastAsia" w:hint="eastAsia"/>
          <w:sz w:val="28"/>
          <w:szCs w:val="28"/>
        </w:rPr>
        <w:t>环境较差；垃圾量增多。</w:t>
      </w:r>
    </w:p>
    <w:p w:rsidR="00E15A6A" w:rsidRPr="00570451" w:rsidRDefault="00B266B1">
      <w:pPr>
        <w:spacing w:line="360" w:lineRule="auto"/>
        <w:rPr>
          <w:rFonts w:ascii="微软雅黑" w:eastAsia="微软雅黑" w:hAnsi="微软雅黑" w:cs="Times New Roman"/>
          <w:b/>
          <w:color w:val="000000"/>
          <w:sz w:val="28"/>
          <w:szCs w:val="28"/>
        </w:rPr>
      </w:pPr>
      <w:r w:rsidRPr="00570451">
        <w:rPr>
          <w:rFonts w:ascii="微软雅黑" w:eastAsia="微软雅黑" w:hAnsi="微软雅黑" w:cs="Times New Roman" w:hint="eastAsia"/>
          <w:b/>
          <w:color w:val="000000"/>
          <w:sz w:val="28"/>
          <w:szCs w:val="28"/>
        </w:rPr>
        <w:t>6、结果公示</w:t>
      </w:r>
    </w:p>
    <w:p w:rsidR="00E15A6A" w:rsidRPr="00570451" w:rsidRDefault="00B266B1">
      <w:pPr>
        <w:spacing w:line="360" w:lineRule="auto"/>
        <w:ind w:firstLineChars="200" w:firstLine="560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垃圾分类评比结果，每月</w:t>
      </w:r>
      <w:r w:rsidR="00D23224" w:rsidRPr="00570451">
        <w:rPr>
          <w:rFonts w:ascii="微软雅黑" w:eastAsia="微软雅黑" w:hAnsi="微软雅黑" w:cstheme="minorEastAsia" w:hint="eastAsia"/>
          <w:sz w:val="28"/>
          <w:szCs w:val="28"/>
        </w:rPr>
        <w:t>通过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学校OA</w:t>
      </w:r>
      <w:r w:rsidR="00D23224" w:rsidRPr="00570451">
        <w:rPr>
          <w:rFonts w:ascii="微软雅黑" w:eastAsia="微软雅黑" w:hAnsi="微软雅黑" w:cstheme="minorEastAsia" w:hint="eastAsia"/>
          <w:sz w:val="28"/>
          <w:szCs w:val="28"/>
        </w:rPr>
        <w:t>、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后勤保障处</w:t>
      </w:r>
      <w:r w:rsidR="00D23224" w:rsidRPr="00570451">
        <w:rPr>
          <w:rFonts w:ascii="微软雅黑" w:eastAsia="微软雅黑" w:hAnsi="微软雅黑" w:cstheme="minorEastAsia" w:hint="eastAsia"/>
          <w:sz w:val="28"/>
          <w:szCs w:val="28"/>
        </w:rPr>
        <w:t>校园网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和</w:t>
      </w:r>
      <w:r w:rsidR="00D23224" w:rsidRPr="00570451">
        <w:rPr>
          <w:rFonts w:ascii="微软雅黑" w:eastAsia="微软雅黑" w:hAnsi="微软雅黑" w:cstheme="minorEastAsia" w:hint="eastAsia"/>
          <w:sz w:val="28"/>
          <w:szCs w:val="28"/>
        </w:rPr>
        <w:t>“后勤服务大厅”</w:t>
      </w:r>
      <w:proofErr w:type="gramStart"/>
      <w:r w:rsidR="00D23224" w:rsidRPr="00570451">
        <w:rPr>
          <w:rFonts w:ascii="微软雅黑" w:eastAsia="微软雅黑" w:hAnsi="微软雅黑" w:cstheme="minorEastAsia" w:hint="eastAsia"/>
          <w:sz w:val="28"/>
          <w:szCs w:val="28"/>
        </w:rPr>
        <w:t>微信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公众号</w:t>
      </w:r>
      <w:proofErr w:type="gramEnd"/>
      <w:r w:rsidRPr="00570451">
        <w:rPr>
          <w:rFonts w:ascii="微软雅黑" w:eastAsia="微软雅黑" w:hAnsi="微软雅黑" w:cstheme="minorEastAsia" w:hint="eastAsia"/>
          <w:sz w:val="28"/>
          <w:szCs w:val="28"/>
        </w:rPr>
        <w:t>进行公示。检查中发现的问题，当场进行详细记录、拍照（摄像），并对整改落实情况进行指导、跟踪、复查。</w:t>
      </w:r>
    </w:p>
    <w:p w:rsidR="00E15A6A" w:rsidRPr="00570451" w:rsidRDefault="00B266B1" w:rsidP="00570451">
      <w:pPr>
        <w:spacing w:line="360" w:lineRule="auto"/>
        <w:rPr>
          <w:rFonts w:ascii="微软雅黑" w:eastAsia="微软雅黑" w:hAnsi="微软雅黑" w:cstheme="minorEastAsia"/>
          <w:sz w:val="28"/>
          <w:szCs w:val="28"/>
        </w:rPr>
      </w:pPr>
      <w:bookmarkStart w:id="0" w:name="_GoBack"/>
      <w:bookmarkEnd w:id="0"/>
      <w:r w:rsidRPr="00570451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附件1：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《上海中医药大学垃圾分类流动红旗评分表》</w:t>
      </w:r>
    </w:p>
    <w:p w:rsidR="00E15A6A" w:rsidRPr="00570451" w:rsidRDefault="00B266B1" w:rsidP="00570451">
      <w:pPr>
        <w:spacing w:line="360" w:lineRule="auto"/>
        <w:rPr>
          <w:rFonts w:ascii="微软雅黑" w:eastAsia="微软雅黑" w:hAnsi="微软雅黑" w:cstheme="minorEastAsia" w:hint="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附件2：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《上海中医药大学</w:t>
      </w:r>
      <w:r w:rsidR="00E171D2" w:rsidRPr="00570451">
        <w:rPr>
          <w:rFonts w:ascii="微软雅黑" w:eastAsia="微软雅黑" w:hAnsi="微软雅黑" w:cstheme="minorEastAsia" w:hint="eastAsia"/>
          <w:sz w:val="28"/>
          <w:szCs w:val="28"/>
        </w:rPr>
        <w:t>张江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校区生活垃圾分类投放评比区域》</w:t>
      </w:r>
    </w:p>
    <w:p w:rsidR="00E171D2" w:rsidRPr="00570451" w:rsidRDefault="00E171D2" w:rsidP="00570451">
      <w:pPr>
        <w:spacing w:line="360" w:lineRule="auto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b/>
          <w:sz w:val="28"/>
          <w:szCs w:val="28"/>
        </w:rPr>
        <w:t>附件3：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《上海中医药大学徐汇校区生活垃圾分类投放评比区域》</w:t>
      </w:r>
    </w:p>
    <w:p w:rsidR="00E15A6A" w:rsidRPr="00570451" w:rsidRDefault="00B266B1" w:rsidP="00570451">
      <w:pPr>
        <w:spacing w:line="360" w:lineRule="auto"/>
        <w:rPr>
          <w:rFonts w:ascii="微软雅黑" w:eastAsia="微软雅黑" w:hAnsi="微软雅黑" w:cstheme="minorEastAsia" w:hint="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附件</w:t>
      </w:r>
      <w:r w:rsidR="00E171D2" w:rsidRPr="00570451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4</w:t>
      </w:r>
      <w:r w:rsidRPr="00570451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：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《上海中医药大学生活园区垃圾分类投放评比区域》</w:t>
      </w:r>
    </w:p>
    <w:p w:rsidR="00D23224" w:rsidRPr="00570451" w:rsidRDefault="00D23224" w:rsidP="00D23224">
      <w:pPr>
        <w:spacing w:line="360" w:lineRule="auto"/>
        <w:ind w:firstLineChars="100" w:firstLine="280"/>
        <w:rPr>
          <w:rFonts w:ascii="微软雅黑" w:eastAsia="微软雅黑" w:hAnsi="微软雅黑" w:cstheme="minorEastAsia"/>
          <w:sz w:val="28"/>
          <w:szCs w:val="28"/>
        </w:rPr>
      </w:pPr>
    </w:p>
    <w:p w:rsidR="008D389A" w:rsidRPr="00570451" w:rsidRDefault="008D389A" w:rsidP="008D389A">
      <w:pPr>
        <w:spacing w:line="360" w:lineRule="auto"/>
        <w:ind w:firstLineChars="100" w:firstLine="280"/>
        <w:rPr>
          <w:rFonts w:ascii="微软雅黑" w:eastAsia="微软雅黑" w:hAnsi="微软雅黑" w:cstheme="minorEastAsia"/>
          <w:sz w:val="28"/>
          <w:szCs w:val="28"/>
        </w:rPr>
      </w:pPr>
      <w:r w:rsidRPr="00570451">
        <w:rPr>
          <w:rFonts w:ascii="微软雅黑" w:eastAsia="微软雅黑" w:hAnsi="微软雅黑" w:cstheme="minorEastAsia" w:hint="eastAsia"/>
          <w:sz w:val="28"/>
          <w:szCs w:val="28"/>
        </w:rPr>
        <w:t xml:space="preserve">                                      </w:t>
      </w:r>
      <w:r w:rsidR="00D23224" w:rsidRPr="00570451">
        <w:rPr>
          <w:rFonts w:ascii="微软雅黑" w:eastAsia="微软雅黑" w:hAnsi="微软雅黑" w:cstheme="minorEastAsia" w:hint="eastAsia"/>
          <w:sz w:val="28"/>
          <w:szCs w:val="28"/>
        </w:rPr>
        <w:t xml:space="preserve"> 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 xml:space="preserve">  后勤保障处</w:t>
      </w:r>
    </w:p>
    <w:p w:rsidR="00E15A6A" w:rsidRDefault="008D389A" w:rsidP="008D389A">
      <w:pPr>
        <w:spacing w:line="360" w:lineRule="auto"/>
        <w:ind w:firstLineChars="100" w:firstLine="280"/>
        <w:rPr>
          <w:rFonts w:asciiTheme="minorEastAsia" w:hAnsiTheme="minorEastAsia" w:cstheme="minorEastAsia"/>
          <w:b/>
          <w:bCs/>
          <w:sz w:val="24"/>
        </w:rPr>
      </w:pPr>
      <w:r w:rsidRPr="00570451">
        <w:rPr>
          <w:rFonts w:ascii="微软雅黑" w:eastAsia="微软雅黑" w:hAnsi="微软雅黑" w:cstheme="minorEastAsia" w:hint="eastAsia"/>
          <w:sz w:val="28"/>
          <w:szCs w:val="28"/>
        </w:rPr>
        <w:t xml:space="preserve">                                      2019年1</w:t>
      </w:r>
      <w:r w:rsidR="009B7E11" w:rsidRPr="00570451">
        <w:rPr>
          <w:rFonts w:ascii="微软雅黑" w:eastAsia="微软雅黑" w:hAnsi="微软雅黑" w:cstheme="minorEastAsia" w:hint="eastAsia"/>
          <w:sz w:val="28"/>
          <w:szCs w:val="28"/>
        </w:rPr>
        <w:t>0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月</w:t>
      </w:r>
      <w:r w:rsidR="009B7E11" w:rsidRPr="00570451">
        <w:rPr>
          <w:rFonts w:ascii="微软雅黑" w:eastAsia="微软雅黑" w:hAnsi="微软雅黑" w:cstheme="minorEastAsia" w:hint="eastAsia"/>
          <w:sz w:val="28"/>
          <w:szCs w:val="28"/>
        </w:rPr>
        <w:t>26</w:t>
      </w:r>
      <w:r w:rsidRPr="00570451">
        <w:rPr>
          <w:rFonts w:ascii="微软雅黑" w:eastAsia="微软雅黑" w:hAnsi="微软雅黑" w:cstheme="minorEastAsia" w:hint="eastAsia"/>
          <w:sz w:val="28"/>
          <w:szCs w:val="28"/>
        </w:rPr>
        <w:t>日</w:t>
      </w:r>
      <w:r w:rsidR="00B266B1">
        <w:rPr>
          <w:rFonts w:asciiTheme="minorEastAsia" w:hAnsiTheme="minorEastAsia" w:cstheme="minorEastAsia"/>
          <w:b/>
          <w:bCs/>
          <w:sz w:val="24"/>
        </w:rPr>
        <w:br w:type="page"/>
      </w:r>
    </w:p>
    <w:p w:rsidR="00E15A6A" w:rsidRDefault="00B266B1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附件1：</w:t>
      </w:r>
    </w:p>
    <w:p w:rsidR="00E15A6A" w:rsidRDefault="00B266B1">
      <w:pPr>
        <w:spacing w:line="360" w:lineRule="auto"/>
        <w:ind w:firstLineChars="100" w:firstLine="301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上海中医药大学垃圾分类流动红旗评分表</w:t>
      </w:r>
    </w:p>
    <w:p w:rsidR="00E15A6A" w:rsidRDefault="00E15A6A">
      <w:pPr>
        <w:spacing w:line="360" w:lineRule="auto"/>
        <w:ind w:firstLineChars="100" w:firstLine="301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</w:p>
    <w:p w:rsidR="00E15A6A" w:rsidRDefault="00B266B1">
      <w:pPr>
        <w:spacing w:line="360" w:lineRule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检查日期：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日</w:t>
      </w:r>
    </w:p>
    <w:p w:rsidR="00E15A6A" w:rsidRDefault="00B266B1">
      <w:pPr>
        <w:spacing w:line="360" w:lineRule="auto"/>
        <w:rPr>
          <w:rFonts w:eastAsia="仿宋_GB2312"/>
          <w:i/>
          <w:iCs/>
          <w:color w:val="000000"/>
          <w:sz w:val="28"/>
          <w:szCs w:val="28"/>
          <w:u w:val="single"/>
        </w:rPr>
      </w:pPr>
      <w:r>
        <w:rPr>
          <w:rFonts w:eastAsia="仿宋_GB2312" w:hint="eastAsia"/>
          <w:color w:val="000000"/>
          <w:sz w:val="28"/>
          <w:szCs w:val="28"/>
        </w:rPr>
        <w:t>评比小组成员签字：</w:t>
      </w:r>
      <w:r>
        <w:rPr>
          <w:rFonts w:eastAsia="仿宋_GB2312" w:hint="eastAsia"/>
          <w:i/>
          <w:iCs/>
          <w:color w:val="000000"/>
          <w:sz w:val="28"/>
          <w:szCs w:val="28"/>
          <w:u w:val="single"/>
        </w:rPr>
        <w:t xml:space="preserve">                                          </w:t>
      </w:r>
    </w:p>
    <w:tbl>
      <w:tblPr>
        <w:tblStyle w:val="a6"/>
        <w:tblpPr w:leftFromText="180" w:rightFromText="180" w:vertAnchor="text" w:horzAnchor="page" w:tblpX="1905" w:tblpY="627"/>
        <w:tblOverlap w:val="never"/>
        <w:tblW w:w="8522" w:type="dxa"/>
        <w:tblLayout w:type="fixed"/>
        <w:tblLook w:val="04A0"/>
      </w:tblPr>
      <w:tblGrid>
        <w:gridCol w:w="2424"/>
        <w:gridCol w:w="2670"/>
        <w:gridCol w:w="1860"/>
        <w:gridCol w:w="1568"/>
      </w:tblGrid>
      <w:tr w:rsidR="00E15A6A">
        <w:tc>
          <w:tcPr>
            <w:tcW w:w="2424" w:type="dxa"/>
          </w:tcPr>
          <w:p w:rsidR="00E15A6A" w:rsidRDefault="00B266B1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评比区域</w:t>
            </w:r>
          </w:p>
        </w:tc>
        <w:tc>
          <w:tcPr>
            <w:tcW w:w="2670" w:type="dxa"/>
          </w:tcPr>
          <w:p w:rsidR="00E15A6A" w:rsidRDefault="00B266B1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所属部门（学院）</w:t>
            </w:r>
          </w:p>
        </w:tc>
        <w:tc>
          <w:tcPr>
            <w:tcW w:w="1860" w:type="dxa"/>
          </w:tcPr>
          <w:p w:rsidR="00E15A6A" w:rsidRDefault="00B266B1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568" w:type="dxa"/>
          </w:tcPr>
          <w:p w:rsidR="00E15A6A" w:rsidRDefault="00B266B1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15A6A"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rPr>
          <w:trHeight w:val="699"/>
        </w:trPr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rPr>
          <w:trHeight w:val="699"/>
        </w:trPr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rPr>
          <w:trHeight w:val="699"/>
        </w:trPr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rPr>
          <w:trHeight w:val="697"/>
        </w:trPr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rPr>
          <w:trHeight w:val="699"/>
        </w:trPr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rPr>
          <w:trHeight w:val="699"/>
        </w:trPr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rPr>
          <w:trHeight w:val="699"/>
        </w:trPr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  <w:tr w:rsidR="00E15A6A">
        <w:trPr>
          <w:trHeight w:val="699"/>
        </w:trPr>
        <w:tc>
          <w:tcPr>
            <w:tcW w:w="2424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267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860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</w:tcPr>
          <w:p w:rsidR="00E15A6A" w:rsidRDefault="00E15A6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</w:p>
        </w:tc>
      </w:tr>
    </w:tbl>
    <w:p w:rsidR="00E15A6A" w:rsidRDefault="00B266B1">
      <w:pPr>
        <w:spacing w:line="360" w:lineRule="auto"/>
        <w:ind w:firstLineChars="100" w:firstLine="301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  <w:u w:val="single"/>
        </w:rPr>
        <w:t xml:space="preserve">                                                     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附件2：</w:t>
      </w:r>
    </w:p>
    <w:p w:rsidR="00E15A6A" w:rsidRDefault="00B266B1">
      <w:pPr>
        <w:spacing w:line="360" w:lineRule="auto"/>
        <w:ind w:firstLineChars="100" w:firstLine="281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上海中医药大学张江校区生活垃圾投放评比区域</w:t>
      </w:r>
    </w:p>
    <w:tbl>
      <w:tblPr>
        <w:tblpPr w:leftFromText="180" w:rightFromText="180" w:vertAnchor="text" w:horzAnchor="page" w:tblpX="1792" w:tblpY="586"/>
        <w:tblOverlap w:val="never"/>
        <w:tblW w:w="8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3690"/>
        <w:gridCol w:w="3930"/>
      </w:tblGrid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评定区域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所属部门（学院）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后勤楼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1F-2F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后勤楼</w:t>
            </w:r>
            <w:proofErr w:type="gramEnd"/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体育馆1F-2F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体育馆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解剖楼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1F-3F楼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解剖楼</w:t>
            </w:r>
            <w:proofErr w:type="gramEnd"/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动物实验楼1F大厅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动物实验楼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国教院1F-3F卫生间门口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国际交流中心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1510室门前对面放置（玻璃门内走道内）1515室门前对面放置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科技实验中心、创新中药研究院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2号楼1F南面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一组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中药现代制剂技术研究中心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2号楼2F南面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一组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公共实验平台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2号楼3F-4F南面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一组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交叉科学研究平台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2号楼5F南面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一组 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手性药物研究中心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3号楼1F南面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临床技能训练室（模拟医院）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3号楼2F南面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中医学基础实验室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3号楼3F南面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免疫学与病原微生物学实验室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3-4号楼4F南面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形态学实验室、中药综合实验室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3-4号楼5F南面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临床技能训练室（针灸、推拿）、中药化学与药剂学实验室、药用植物与生药学实验室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4号楼1F南面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生物化学和分子生物学实验室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4号楼2F南面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机能学实验室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4号楼3F南面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西面各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一组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理化基础与仪器分析实验室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5号楼1F-5F东面楼梯对面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中药研究所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6号楼1楼电梯口，2F-5F南侧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教室区域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7号楼2F-3F卫生间门口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教室区域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7号楼4F卫生间门口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基础医学院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7号楼南面通道（7103斜对面）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公共区域（教学实验中心）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8号楼1F茶水间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中医健康服务协同创新中心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9号2F-3F卫生间门前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教室区域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9号4F女卫门前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继续教育学院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9号1F南面通道楼梯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公共区域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11号2F女卫门前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教学区域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11号3F女卫门前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外语中心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11号4F女卫门前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外语中心、社科部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创新楼1F-10F茶水间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创新楼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行政楼1F-4F卫生间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行政楼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博物馆1至3楼（卫生间处）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博物馆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裙楼1F-4F卫生间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裙楼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图书馆1F-6F南北卫生间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公共区域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图书馆7F-10F南北卫生间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办公区域</w:t>
            </w:r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后勤楼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1F-2F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后勤楼</w:t>
            </w:r>
            <w:proofErr w:type="gramEnd"/>
          </w:p>
        </w:tc>
      </w:tr>
      <w:tr w:rsidR="00E15A6A" w:rsidTr="00E171D2">
        <w:trPr>
          <w:trHeight w:hRule="exact" w:val="56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体育馆1F-2F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体育馆</w:t>
            </w:r>
          </w:p>
        </w:tc>
      </w:tr>
    </w:tbl>
    <w:p w:rsidR="00E15A6A" w:rsidRDefault="00E15A6A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 w:rsidR="00E171D2" w:rsidRDefault="00E171D2" w:rsidP="00E171D2">
      <w:pPr>
        <w:spacing w:line="360" w:lineRule="auto"/>
        <w:ind w:firstLineChars="100" w:firstLine="281"/>
        <w:jc w:val="left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附件3：</w:t>
      </w:r>
    </w:p>
    <w:p w:rsidR="00E15A6A" w:rsidRDefault="00B266B1">
      <w:pPr>
        <w:spacing w:line="360" w:lineRule="auto"/>
        <w:ind w:firstLineChars="100" w:firstLine="281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上海中医药大学徐汇校区生活垃圾投放评比区域</w:t>
      </w:r>
    </w:p>
    <w:tbl>
      <w:tblPr>
        <w:tblpPr w:leftFromText="180" w:rightFromText="180" w:vertAnchor="text" w:horzAnchor="page" w:tblpX="1792" w:tblpY="586"/>
        <w:tblOverlap w:val="never"/>
        <w:tblW w:w="8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3690"/>
        <w:gridCol w:w="3930"/>
      </w:tblGrid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评定区域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所属部门（学院）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零陵路530号1F-3F开水箱旁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离退休工作处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零陵路530号4F-5F电梯监控旁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继续教育学院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零陵路530号6F开水箱旁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继续教育学院、国际教育学院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零陵路530号7F-8F开水箱旁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国际教育学院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零陵路530号9F开水箱旁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71D2" w:rsidRDefault="00B266B1" w:rsidP="00E171D2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继续教育学院、国际教育学院、</w:t>
            </w:r>
          </w:p>
          <w:p w:rsidR="00E15A6A" w:rsidRDefault="00B266B1" w:rsidP="00E171D2">
            <w:pPr>
              <w:widowControl/>
              <w:ind w:firstLineChars="17" w:firstLine="41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资产管理处</w:t>
            </w:r>
          </w:p>
        </w:tc>
      </w:tr>
      <w:tr w:rsidR="00E15A6A">
        <w:trPr>
          <w:trHeight w:val="697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宛平南路650号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公共区域</w:t>
            </w:r>
          </w:p>
        </w:tc>
      </w:tr>
    </w:tbl>
    <w:p w:rsidR="00E15A6A" w:rsidRDefault="00E15A6A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E15A6A" w:rsidRDefault="00E15A6A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E15A6A" w:rsidRDefault="00E15A6A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E15A6A" w:rsidRDefault="00E15A6A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E15A6A" w:rsidRDefault="00E15A6A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E171D2" w:rsidRDefault="00E171D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E171D2" w:rsidRDefault="00E171D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E171D2" w:rsidRDefault="00E171D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E171D2" w:rsidRDefault="00E171D2">
      <w:pPr>
        <w:spacing w:line="360" w:lineRule="auto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E171D2" w:rsidRDefault="00E171D2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E15A6A" w:rsidRDefault="00E15A6A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E15A6A" w:rsidRDefault="00B266B1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附件</w:t>
      </w:r>
      <w:r w:rsidR="00E171D2">
        <w:rPr>
          <w:rFonts w:asciiTheme="minorEastAsia" w:hAnsiTheme="minorEastAsia" w:cstheme="minorEastAsia" w:hint="eastAsia"/>
          <w:b/>
          <w:bCs/>
          <w:sz w:val="28"/>
          <w:szCs w:val="28"/>
        </w:rPr>
        <w:t>4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</w:t>
      </w:r>
    </w:p>
    <w:p w:rsidR="00E15A6A" w:rsidRDefault="00B266B1">
      <w:pPr>
        <w:spacing w:line="360" w:lineRule="auto"/>
        <w:ind w:firstLineChars="100" w:firstLine="281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上海中医药大学生活园区生活垃圾投放评比区域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1008"/>
        <w:gridCol w:w="2067"/>
        <w:gridCol w:w="5985"/>
      </w:tblGrid>
      <w:tr w:rsidR="00E15A6A" w:rsidTr="00E171D2">
        <w:trPr>
          <w:trHeight w:val="312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/>
                <w:color w:val="000000"/>
                <w:sz w:val="24"/>
              </w:rPr>
              <w:t>评比区域</w:t>
            </w:r>
          </w:p>
        </w:tc>
        <w:tc>
          <w:tcPr>
            <w:tcW w:w="5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共享使用楼栋范围</w:t>
            </w:r>
          </w:p>
        </w:tc>
      </w:tr>
      <w:tr w:rsidR="00E15A6A" w:rsidTr="00E171D2">
        <w:trPr>
          <w:trHeight w:val="31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5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</w:tr>
      <w:tr w:rsidR="00E15A6A" w:rsidTr="00E171D2">
        <w:trPr>
          <w:trHeight w:val="57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3幢4号附近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2幢3号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3幢4号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4幢6号附近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4幢6号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4幢7号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5幢8号附近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5幢8号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6幢9号</w:t>
            </w:r>
          </w:p>
        </w:tc>
      </w:tr>
      <w:tr w:rsidR="00E15A6A" w:rsidTr="00E171D2">
        <w:trPr>
          <w:trHeight w:val="6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9幢12号附近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9幢12号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11幢14号附近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11幢14号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12幢15号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14幢17号附近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13幢16号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14幢17号</w:t>
            </w:r>
          </w:p>
        </w:tc>
      </w:tr>
      <w:tr w:rsidR="00E15A6A" w:rsidTr="00E171D2">
        <w:trPr>
          <w:trHeight w:val="6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15幢18号附近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15幢18号</w:t>
            </w:r>
          </w:p>
        </w:tc>
      </w:tr>
      <w:tr w:rsidR="00E15A6A" w:rsidTr="00E171D2">
        <w:trPr>
          <w:trHeight w:val="6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16幢19号附近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16幢19号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18幢22号附近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17幢20号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18幢22号</w:t>
            </w:r>
          </w:p>
        </w:tc>
      </w:tr>
      <w:tr w:rsidR="00E15A6A" w:rsidTr="00E171D2">
        <w:trPr>
          <w:trHeight w:val="47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19幢23号</w:t>
            </w:r>
          </w:p>
        </w:tc>
      </w:tr>
      <w:tr w:rsidR="00E15A6A" w:rsidTr="00E171D2">
        <w:trPr>
          <w:trHeight w:val="468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19幢23号附近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21幢26号</w:t>
            </w:r>
          </w:p>
        </w:tc>
      </w:tr>
      <w:tr w:rsidR="00E15A6A" w:rsidTr="00E171D2">
        <w:trPr>
          <w:trHeight w:val="42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22幢27号</w:t>
            </w:r>
          </w:p>
        </w:tc>
      </w:tr>
      <w:tr w:rsidR="00E15A6A" w:rsidTr="00E171D2">
        <w:trPr>
          <w:trHeight w:val="57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E15A6A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23幢28号</w:t>
            </w:r>
          </w:p>
        </w:tc>
      </w:tr>
      <w:tr w:rsidR="00E15A6A" w:rsidTr="00E171D2">
        <w:trPr>
          <w:trHeight w:val="76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一期5号附近                  （中医大校区内）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A6A" w:rsidRPr="00E171D2" w:rsidRDefault="00B266B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 w:rsidRPr="00E171D2"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4"/>
              </w:rPr>
              <w:t>一期5号</w:t>
            </w:r>
          </w:p>
        </w:tc>
      </w:tr>
    </w:tbl>
    <w:p w:rsidR="00E15A6A" w:rsidRDefault="00E15A6A" w:rsidP="00E171D2">
      <w:pPr>
        <w:spacing w:line="360" w:lineRule="auto"/>
        <w:jc w:val="center"/>
        <w:rPr>
          <w:rFonts w:asciiTheme="minorEastAsia" w:hAnsiTheme="minorEastAsia" w:cstheme="minorEastAsia"/>
          <w:bCs/>
          <w:sz w:val="24"/>
          <w:u w:val="single"/>
        </w:rPr>
      </w:pPr>
    </w:p>
    <w:sectPr w:rsidR="00E15A6A" w:rsidSect="00E15A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9D" w:rsidRDefault="0013749D" w:rsidP="00E15A6A">
      <w:r>
        <w:separator/>
      </w:r>
    </w:p>
  </w:endnote>
  <w:endnote w:type="continuationSeparator" w:id="0">
    <w:p w:rsidR="0013749D" w:rsidRDefault="0013749D" w:rsidP="00E15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6A" w:rsidRDefault="006E12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E15A6A" w:rsidRDefault="006E129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266B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0451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9D" w:rsidRDefault="0013749D" w:rsidP="00E15A6A">
      <w:r>
        <w:separator/>
      </w:r>
    </w:p>
  </w:footnote>
  <w:footnote w:type="continuationSeparator" w:id="0">
    <w:p w:rsidR="0013749D" w:rsidRDefault="0013749D" w:rsidP="00E15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746989"/>
    <w:rsid w:val="001136C4"/>
    <w:rsid w:val="0013749D"/>
    <w:rsid w:val="00182595"/>
    <w:rsid w:val="001A0056"/>
    <w:rsid w:val="00244CE3"/>
    <w:rsid w:val="002D3A72"/>
    <w:rsid w:val="0034784C"/>
    <w:rsid w:val="00362A05"/>
    <w:rsid w:val="00365FD6"/>
    <w:rsid w:val="003B4C8B"/>
    <w:rsid w:val="003D61F6"/>
    <w:rsid w:val="004B3317"/>
    <w:rsid w:val="00524720"/>
    <w:rsid w:val="00570451"/>
    <w:rsid w:val="006D2300"/>
    <w:rsid w:val="006E129E"/>
    <w:rsid w:val="006E5EE1"/>
    <w:rsid w:val="007226E9"/>
    <w:rsid w:val="0078203B"/>
    <w:rsid w:val="0078468C"/>
    <w:rsid w:val="00785AEC"/>
    <w:rsid w:val="00825ABF"/>
    <w:rsid w:val="00832326"/>
    <w:rsid w:val="00884847"/>
    <w:rsid w:val="008D389A"/>
    <w:rsid w:val="008F2236"/>
    <w:rsid w:val="009A24D3"/>
    <w:rsid w:val="009B7E11"/>
    <w:rsid w:val="00A331BD"/>
    <w:rsid w:val="00A3430F"/>
    <w:rsid w:val="00AB644F"/>
    <w:rsid w:val="00B266B1"/>
    <w:rsid w:val="00B742A8"/>
    <w:rsid w:val="00CD3181"/>
    <w:rsid w:val="00CF0C31"/>
    <w:rsid w:val="00CF17F0"/>
    <w:rsid w:val="00D23224"/>
    <w:rsid w:val="00E15A6A"/>
    <w:rsid w:val="00E171D2"/>
    <w:rsid w:val="00E85C60"/>
    <w:rsid w:val="00F46970"/>
    <w:rsid w:val="00FA7D4F"/>
    <w:rsid w:val="01951755"/>
    <w:rsid w:val="07954F11"/>
    <w:rsid w:val="0FA752AA"/>
    <w:rsid w:val="0FFA1AED"/>
    <w:rsid w:val="17467444"/>
    <w:rsid w:val="18081F30"/>
    <w:rsid w:val="1A0E1953"/>
    <w:rsid w:val="24433520"/>
    <w:rsid w:val="2EDF3D8E"/>
    <w:rsid w:val="35384E15"/>
    <w:rsid w:val="354D0D96"/>
    <w:rsid w:val="363D7DFB"/>
    <w:rsid w:val="37B04C65"/>
    <w:rsid w:val="3DB231D1"/>
    <w:rsid w:val="4FF6183E"/>
    <w:rsid w:val="5B621080"/>
    <w:rsid w:val="5F003708"/>
    <w:rsid w:val="69C4465D"/>
    <w:rsid w:val="743F3980"/>
    <w:rsid w:val="74C71071"/>
    <w:rsid w:val="76DD3E14"/>
    <w:rsid w:val="7AA744CC"/>
    <w:rsid w:val="7D746989"/>
    <w:rsid w:val="7F69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A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5A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15A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15A6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E15A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15A6A"/>
    <w:rPr>
      <w:b/>
    </w:rPr>
  </w:style>
  <w:style w:type="character" w:styleId="a8">
    <w:name w:val="FollowedHyperlink"/>
    <w:basedOn w:val="a0"/>
    <w:qFormat/>
    <w:rsid w:val="00E15A6A"/>
    <w:rPr>
      <w:color w:val="333333"/>
      <w:u w:val="none"/>
    </w:rPr>
  </w:style>
  <w:style w:type="character" w:styleId="a9">
    <w:name w:val="Hyperlink"/>
    <w:basedOn w:val="a0"/>
    <w:qFormat/>
    <w:rsid w:val="00E15A6A"/>
    <w:rPr>
      <w:color w:val="333333"/>
      <w:u w:val="none"/>
    </w:rPr>
  </w:style>
  <w:style w:type="character" w:customStyle="1" w:styleId="item-name">
    <w:name w:val="item-name"/>
    <w:basedOn w:val="a0"/>
    <w:qFormat/>
    <w:rsid w:val="00E15A6A"/>
  </w:style>
  <w:style w:type="character" w:customStyle="1" w:styleId="item-name1">
    <w:name w:val="item-name1"/>
    <w:basedOn w:val="a0"/>
    <w:qFormat/>
    <w:rsid w:val="00E15A6A"/>
  </w:style>
  <w:style w:type="character" w:customStyle="1" w:styleId="item-name2">
    <w:name w:val="item-name2"/>
    <w:basedOn w:val="a0"/>
    <w:qFormat/>
    <w:rsid w:val="00E15A6A"/>
  </w:style>
  <w:style w:type="character" w:customStyle="1" w:styleId="bsharetext">
    <w:name w:val="bsharetext"/>
    <w:basedOn w:val="a0"/>
    <w:qFormat/>
    <w:rsid w:val="00E15A6A"/>
  </w:style>
  <w:style w:type="paragraph" w:customStyle="1" w:styleId="p0">
    <w:name w:val="p0"/>
    <w:basedOn w:val="a"/>
    <w:qFormat/>
    <w:rsid w:val="00E15A6A"/>
    <w:rPr>
      <w:rFonts w:ascii="Times New Roman" w:eastAsia="宋体" w:hAnsi="Times New Roman" w:cs="Times New Roman"/>
      <w:kern w:val="0"/>
    </w:rPr>
  </w:style>
  <w:style w:type="paragraph" w:styleId="aa">
    <w:name w:val="List Paragraph"/>
    <w:basedOn w:val="a"/>
    <w:uiPriority w:val="99"/>
    <w:qFormat/>
    <w:rsid w:val="00E15A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495</Words>
  <Characters>2823</Characters>
  <Application>Microsoft Office Word</Application>
  <DocSecurity>0</DocSecurity>
  <Lines>23</Lines>
  <Paragraphs>6</Paragraphs>
  <ScaleCrop>false</ScaleCrop>
  <Company>HP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榕树下</dc:creator>
  <cp:lastModifiedBy>潘屹鸣</cp:lastModifiedBy>
  <cp:revision>14</cp:revision>
  <dcterms:created xsi:type="dcterms:W3CDTF">2019-10-28T02:53:00Z</dcterms:created>
  <dcterms:modified xsi:type="dcterms:W3CDTF">2019-11-15T07:05:00Z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